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65A0B0A6"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xml:space="preserve">, Дом № </w:t>
      </w:r>
      <w:r w:rsidR="008121EB">
        <w:t>2</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6318BE19" w14:textId="77777777" w:rsidR="008121EB" w:rsidRPr="00037DAB" w:rsidRDefault="008121EB" w:rsidP="008121EB">
      <w:pPr>
        <w:ind w:firstLine="708"/>
        <w:jc w:val="both"/>
        <w:rPr>
          <w:highlight w:val="yellow"/>
        </w:rPr>
      </w:pPr>
      <w:r w:rsidRPr="00037DAB">
        <w:rPr>
          <w:b/>
          <w:highlight w:val="yellow"/>
        </w:rPr>
        <w:t>- вид:</w:t>
      </w:r>
      <w:r w:rsidRPr="00037DAB">
        <w:rPr>
          <w:highlight w:val="yellow"/>
        </w:rPr>
        <w:t xml:space="preserve"> многоквартирный дом (дом № 2);</w:t>
      </w:r>
    </w:p>
    <w:p w14:paraId="4741BED7" w14:textId="77777777" w:rsidR="008121EB" w:rsidRPr="00037DAB" w:rsidRDefault="008121EB" w:rsidP="008121EB">
      <w:pPr>
        <w:ind w:firstLine="708"/>
        <w:jc w:val="both"/>
        <w:rPr>
          <w:highlight w:val="yellow"/>
        </w:rPr>
      </w:pPr>
      <w:r w:rsidRPr="00037DAB">
        <w:rPr>
          <w:b/>
          <w:highlight w:val="yellow"/>
        </w:rPr>
        <w:t>- назначение:</w:t>
      </w:r>
      <w:r w:rsidRPr="00037DAB">
        <w:rPr>
          <w:highlight w:val="yellow"/>
        </w:rPr>
        <w:t xml:space="preserve"> жилое;</w:t>
      </w:r>
    </w:p>
    <w:p w14:paraId="40431E50" w14:textId="77777777" w:rsidR="008121EB" w:rsidRPr="00037DAB" w:rsidRDefault="008121EB" w:rsidP="008121EB">
      <w:pPr>
        <w:ind w:firstLine="708"/>
        <w:jc w:val="both"/>
        <w:rPr>
          <w:highlight w:val="yellow"/>
        </w:rPr>
      </w:pPr>
      <w:r w:rsidRPr="00037DAB">
        <w:rPr>
          <w:b/>
          <w:highlight w:val="yellow"/>
        </w:rPr>
        <w:t>- количество этажей:</w:t>
      </w:r>
      <w:r w:rsidRPr="00037DAB">
        <w:rPr>
          <w:highlight w:val="yellow"/>
        </w:rPr>
        <w:t xml:space="preserve"> 24 этажа;</w:t>
      </w:r>
    </w:p>
    <w:p w14:paraId="69EEC597" w14:textId="77777777" w:rsidR="008121EB" w:rsidRPr="00037DAB" w:rsidRDefault="008121EB" w:rsidP="008121EB">
      <w:pPr>
        <w:ind w:firstLine="708"/>
        <w:jc w:val="both"/>
        <w:rPr>
          <w:color w:val="auto"/>
          <w:highlight w:val="yellow"/>
        </w:rPr>
      </w:pPr>
      <w:r w:rsidRPr="00037DAB">
        <w:rPr>
          <w:b/>
          <w:highlight w:val="yellow"/>
        </w:rPr>
        <w:t>- общая площадь Многоквартирного дома:</w:t>
      </w:r>
      <w:r w:rsidRPr="00037DAB">
        <w:rPr>
          <w:color w:val="auto"/>
          <w:highlight w:val="yellow"/>
        </w:rPr>
        <w:t xml:space="preserve"> </w:t>
      </w:r>
      <w:r w:rsidRPr="00037DAB">
        <w:rPr>
          <w:highlight w:val="yellow"/>
        </w:rPr>
        <w:t>14</w:t>
      </w:r>
      <w:r w:rsidRPr="00037DAB">
        <w:rPr>
          <w:highlight w:val="yellow"/>
          <w:lang w:val="en-US"/>
        </w:rPr>
        <w:t> </w:t>
      </w:r>
      <w:r w:rsidRPr="00037DAB">
        <w:rPr>
          <w:highlight w:val="yellow"/>
        </w:rPr>
        <w:t>966,2 квадратных</w:t>
      </w:r>
      <w:r w:rsidRPr="00037DAB">
        <w:rPr>
          <w:color w:val="auto"/>
          <w:highlight w:val="yellow"/>
        </w:rPr>
        <w:t xml:space="preserve"> метра;</w:t>
      </w:r>
    </w:p>
    <w:p w14:paraId="081F2C97" w14:textId="77777777" w:rsidR="008121EB" w:rsidRPr="00037DAB" w:rsidRDefault="008121EB" w:rsidP="008121EB">
      <w:pPr>
        <w:ind w:firstLine="708"/>
        <w:jc w:val="both"/>
        <w:rPr>
          <w:b/>
          <w:color w:val="auto"/>
          <w:highlight w:val="yellow"/>
        </w:rPr>
      </w:pPr>
      <w:r w:rsidRPr="00037DAB">
        <w:rPr>
          <w:b/>
          <w:color w:val="auto"/>
          <w:highlight w:val="yellow"/>
        </w:rPr>
        <w:t xml:space="preserve">- материал наружных стен и каркаса: </w:t>
      </w:r>
      <w:r w:rsidRPr="00037DAB">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2EFE6490" w14:textId="77777777" w:rsidR="008121EB" w:rsidRPr="00037DAB" w:rsidRDefault="008121EB" w:rsidP="008121EB">
      <w:pPr>
        <w:ind w:firstLine="708"/>
        <w:jc w:val="both"/>
        <w:rPr>
          <w:b/>
          <w:color w:val="auto"/>
          <w:highlight w:val="yellow"/>
        </w:rPr>
      </w:pPr>
      <w:r w:rsidRPr="00037DAB">
        <w:rPr>
          <w:b/>
          <w:color w:val="auto"/>
          <w:highlight w:val="yellow"/>
        </w:rPr>
        <w:t xml:space="preserve">- материал поэтажных перекрытий: </w:t>
      </w:r>
      <w:r w:rsidRPr="00037DAB">
        <w:rPr>
          <w:color w:val="auto"/>
          <w:highlight w:val="yellow"/>
        </w:rPr>
        <w:t>монолитный железобетон;</w:t>
      </w:r>
      <w:r w:rsidRPr="00037DAB">
        <w:rPr>
          <w:b/>
          <w:color w:val="auto"/>
          <w:highlight w:val="yellow"/>
        </w:rPr>
        <w:t xml:space="preserve"> </w:t>
      </w:r>
    </w:p>
    <w:p w14:paraId="7064BBA1" w14:textId="77777777" w:rsidR="008121EB" w:rsidRPr="00037DAB" w:rsidRDefault="008121EB" w:rsidP="008121EB">
      <w:pPr>
        <w:ind w:firstLine="708"/>
        <w:jc w:val="both"/>
        <w:rPr>
          <w:b/>
          <w:color w:val="auto"/>
          <w:highlight w:val="yellow"/>
        </w:rPr>
      </w:pPr>
      <w:r w:rsidRPr="00037DAB">
        <w:rPr>
          <w:b/>
          <w:color w:val="auto"/>
          <w:highlight w:val="yellow"/>
        </w:rPr>
        <w:t xml:space="preserve">- класс энергоэффективности: </w:t>
      </w:r>
      <w:r w:rsidRPr="00037DAB">
        <w:rPr>
          <w:bCs/>
          <w:color w:val="auto"/>
          <w:highlight w:val="yellow"/>
        </w:rPr>
        <w:t>А+</w:t>
      </w:r>
      <w:r w:rsidRPr="00037DAB">
        <w:rPr>
          <w:color w:val="auto"/>
          <w:highlight w:val="yellow"/>
        </w:rPr>
        <w:t>;</w:t>
      </w:r>
    </w:p>
    <w:p w14:paraId="637F0F17" w14:textId="77777777" w:rsidR="008121EB" w:rsidRPr="00037DAB" w:rsidRDefault="008121EB" w:rsidP="008121EB">
      <w:pPr>
        <w:ind w:firstLine="708"/>
        <w:jc w:val="both"/>
        <w:rPr>
          <w:color w:val="auto"/>
          <w:highlight w:val="yellow"/>
        </w:rPr>
      </w:pPr>
      <w:r w:rsidRPr="00037DAB">
        <w:rPr>
          <w:b/>
          <w:color w:val="auto"/>
          <w:highlight w:val="yellow"/>
        </w:rPr>
        <w:t xml:space="preserve">- класс сейсмостойкости: </w:t>
      </w:r>
      <w:r w:rsidRPr="00037DAB">
        <w:rPr>
          <w:color w:val="auto"/>
          <w:highlight w:val="yellow"/>
        </w:rPr>
        <w:t>6 баллов,</w:t>
      </w:r>
    </w:p>
    <w:p w14:paraId="52A817DE" w14:textId="1C72CC16" w:rsidR="00D47635" w:rsidRPr="00FE4103" w:rsidRDefault="008121EB" w:rsidP="008121EB">
      <w:pPr>
        <w:ind w:firstLine="708"/>
        <w:jc w:val="both"/>
        <w:rPr>
          <w:b/>
          <w:color w:val="auto"/>
        </w:rPr>
      </w:pPr>
      <w:r w:rsidRPr="00037DAB">
        <w:rPr>
          <w:b/>
          <w:bCs/>
          <w:color w:val="auto"/>
          <w:highlight w:val="yellow"/>
        </w:rPr>
        <w:t>- иные характеристики:</w:t>
      </w:r>
      <w:r w:rsidRPr="00037DAB">
        <w:rPr>
          <w:color w:val="auto"/>
          <w:highlight w:val="yellow"/>
        </w:rPr>
        <w:t xml:space="preserve"> без мусоропровода</w:t>
      </w:r>
      <w:r w:rsidR="00D47635" w:rsidRPr="00E95CCA">
        <w:rPr>
          <w:color w:val="auto"/>
          <w:highlight w:val="yellow"/>
        </w:rPr>
        <w:t>.</w:t>
      </w:r>
    </w:p>
    <w:p w14:paraId="122C66F3" w14:textId="27439EF1" w:rsidR="00694BF7" w:rsidRPr="00FE4103" w:rsidRDefault="00694BF7" w:rsidP="003E6FD3">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квартира (жилое помещение) </w:t>
      </w:r>
      <w:r w:rsidR="006221EC" w:rsidRPr="00FE4103">
        <w:t>с условным номером _____</w:t>
      </w:r>
      <w:r w:rsidR="006221EC" w:rsidRPr="00FE4103">
        <w:br/>
        <w:t xml:space="preserve"> </w:t>
      </w:r>
      <w:r w:rsidR="006221EC" w:rsidRPr="00FE4103">
        <w:rPr>
          <w:b/>
        </w:rPr>
        <w:t>(_____________________)</w:t>
      </w:r>
      <w:r w:rsidR="006221EC" w:rsidRPr="00FE4103">
        <w:t>, расположенная на ___ (___________) этаже, номер на площадке ___, тип  ____, строительные оси: ____, уровень отметки: ____, проектной общей площадью ______ кв. метров, количество комнат __</w:t>
      </w:r>
      <w:r w:rsidR="006221EC" w:rsidRPr="00FE4103">
        <w:rPr>
          <w:noProof/>
        </w:rPr>
        <w:t xml:space="preserve"> (____)</w:t>
      </w:r>
      <w:r w:rsidR="006221EC" w:rsidRPr="00FE4103">
        <w:t>, площадь комнат ____ кв. метров, _____ кв. метров, ____ кв. метров, _____ кв. метров, соответственно, количество помещений вспомогательного использования ___ (кухня, холл, совмещенный санузел 1, ванная комната, совмещенный санузел 2, кладовая), площадь помещений вспомогательного использования: ____ кв. метров (кухня), ____ кв. метров (холл), ____ кв. метров (совмещенный санузел 1), ___ кв. метров (ванная комната), ____ кв. метров (совмещенный санузел 2), ____ кв. метров (кладовая)</w:t>
      </w:r>
      <w:r w:rsidRPr="00FE4103">
        <w:t>,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C762F33" w14:textId="4301D42E" w:rsidR="00694BF7" w:rsidRPr="00FE4103" w:rsidRDefault="00694BF7" w:rsidP="003E6FD3">
      <w:pPr>
        <w:ind w:firstLine="540"/>
        <w:jc w:val="both"/>
        <w:rPr>
          <w:color w:val="auto"/>
        </w:rPr>
      </w:pPr>
      <w:r w:rsidRPr="00FE4103">
        <w:rPr>
          <w:color w:val="auto"/>
        </w:rPr>
        <w:t>Общая площадь Объекта долевого строительства является проектной и уточняется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FE4103" w:rsidRDefault="00694BF7" w:rsidP="001F2B26">
      <w:pPr>
        <w:ind w:firstLine="540"/>
        <w:jc w:val="both"/>
        <w:rPr>
          <w:color w:val="auto"/>
        </w:rPr>
      </w:pPr>
      <w:r w:rsidRPr="00FE4103">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w:t>
      </w:r>
      <w:r w:rsidRPr="008174E7">
        <w:rPr>
          <w:rFonts w:eastAsia="Calibri"/>
          <w:highlight w:val="yellow"/>
        </w:rPr>
        <w:lastRenderedPageBreak/>
        <w:t xml:space="preserve">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715E97B8" w14:textId="7584DB3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.12.</w:t>
      </w:r>
      <w:r w:rsidRPr="00FE4103">
        <w:rPr>
          <w:sz w:val="22"/>
          <w:szCs w:val="22"/>
        </w:rPr>
        <w:t xml:space="preserve"> Телевизионная антенна – по общедомовому стояку без внутриквартирной разводки;</w:t>
      </w:r>
    </w:p>
    <w:p w14:paraId="54EF6E7F" w14:textId="704AE9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.13.</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 xml:space="preserve">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w:t>
      </w:r>
      <w:r w:rsidRPr="00FE4103">
        <w:lastRenderedPageBreak/>
        <w:t>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47B8F7A2"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 xml:space="preserve">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w:t>
      </w:r>
      <w:r w:rsidR="00035F3E" w:rsidRPr="00FE4103">
        <w:rPr>
          <w:rFonts w:eastAsia="Calibri"/>
        </w:rPr>
        <w:lastRenderedPageBreak/>
        <w:t>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lastRenderedPageBreak/>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55C587DF"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3829F10B" w:rsidR="00694BF7" w:rsidRPr="00FE4103" w:rsidRDefault="00694BF7" w:rsidP="00FC64BC">
      <w:pPr>
        <w:autoSpaceDE w:val="0"/>
        <w:autoSpaceDN w:val="0"/>
        <w:adjustRightInd w:val="0"/>
        <w:ind w:firstLine="708"/>
        <w:jc w:val="both"/>
        <w:rPr>
          <w:color w:val="auto"/>
        </w:rPr>
      </w:pPr>
      <w:r w:rsidRPr="00FE4103">
        <w:rPr>
          <w:color w:val="auto"/>
        </w:rPr>
        <w:t xml:space="preserve">Цена настоящего Договора определена как произведение цены единицы проектной общей площади Объекта долевого строительства и проектной общей площади Объекта долевого строительства. </w:t>
      </w:r>
      <w:proofErr w:type="gramStart"/>
      <w:r w:rsidRPr="00FE4103">
        <w:rPr>
          <w:color w:val="auto"/>
        </w:rPr>
        <w:t>Общая  площадь</w:t>
      </w:r>
      <w:proofErr w:type="gramEnd"/>
      <w:r w:rsidRPr="00FE4103">
        <w:rPr>
          <w:color w:val="auto"/>
        </w:rPr>
        <w:t xml:space="preserve">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3406F0B6"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w:t>
      </w:r>
      <w:r w:rsidRPr="00FE4103">
        <w:rPr>
          <w:color w:val="auto"/>
        </w:rPr>
        <w:lastRenderedPageBreak/>
        <w:t xml:space="preserve">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5FADBEF1"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6D1BF3D4"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w:t>
      </w:r>
      <w:r w:rsidRPr="00FE4103">
        <w:rPr>
          <w:rFonts w:ascii="Times New Roman" w:hAnsi="Times New Roman" w:cs="Times New Roman"/>
          <w:sz w:val="22"/>
          <w:szCs w:val="22"/>
        </w:rPr>
        <w:lastRenderedPageBreak/>
        <w:t>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370CEEF2"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w:t>
      </w:r>
      <w:r w:rsidRPr="00FE4103">
        <w:lastRenderedPageBreak/>
        <w:t>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lastRenderedPageBreak/>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lastRenderedPageBreak/>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Pr="007B744A"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назначения  по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612"/>
        <w:gridCol w:w="900"/>
        <w:gridCol w:w="1620"/>
        <w:gridCol w:w="1008"/>
        <w:gridCol w:w="2520"/>
      </w:tblGrid>
      <w:tr w:rsidR="00694BF7" w:rsidRPr="00BD2E0E" w14:paraId="31DDDA02"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A07BCF" w14:textId="77777777" w:rsidR="00694BF7" w:rsidRPr="00784F7D" w:rsidRDefault="00694BF7" w:rsidP="002F5858">
            <w:pPr>
              <w:jc w:val="center"/>
              <w:rPr>
                <w:b/>
                <w:bCs/>
              </w:rPr>
            </w:pPr>
            <w:r w:rsidRPr="00784F7D">
              <w:rPr>
                <w:b/>
                <w:bCs/>
              </w:rPr>
              <w:t>Условный номер</w:t>
            </w:r>
          </w:p>
          <w:p w14:paraId="59BA88B8" w14:textId="77777777" w:rsidR="00694BF7" w:rsidRPr="00784F7D" w:rsidRDefault="00694BF7" w:rsidP="002F5858">
            <w:pPr>
              <w:jc w:val="center"/>
              <w:rPr>
                <w:b/>
                <w:bCs/>
              </w:rPr>
            </w:pPr>
            <w:r w:rsidRPr="00784F7D">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BD07C" w14:textId="77777777" w:rsidR="00694BF7" w:rsidRPr="00784F7D" w:rsidRDefault="00694BF7" w:rsidP="002F5858">
            <w:pPr>
              <w:jc w:val="center"/>
              <w:rPr>
                <w:b/>
                <w:bCs/>
              </w:rPr>
            </w:pPr>
            <w:r w:rsidRPr="00784F7D">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1A167E" w14:textId="77777777" w:rsidR="00694BF7" w:rsidRPr="00784F7D" w:rsidRDefault="00694BF7" w:rsidP="002F5858">
            <w:pPr>
              <w:jc w:val="center"/>
              <w:rPr>
                <w:b/>
                <w:bCs/>
              </w:rPr>
            </w:pPr>
            <w:r w:rsidRPr="00784F7D">
              <w:rPr>
                <w:b/>
                <w:bCs/>
              </w:rPr>
              <w:t>Номер на площадке</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DD9365" w14:textId="77777777" w:rsidR="00694BF7" w:rsidRPr="00784F7D" w:rsidRDefault="00694BF7" w:rsidP="002F5858">
            <w:pPr>
              <w:jc w:val="center"/>
              <w:rPr>
                <w:b/>
                <w:bCs/>
              </w:rPr>
            </w:pPr>
            <w:r w:rsidRPr="00784F7D">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06C8FAA" w14:textId="77777777" w:rsidR="00694BF7" w:rsidRPr="00784F7D" w:rsidRDefault="00694BF7" w:rsidP="002F5858">
            <w:pPr>
              <w:jc w:val="center"/>
              <w:rPr>
                <w:b/>
                <w:bCs/>
              </w:rPr>
            </w:pPr>
            <w:r w:rsidRPr="00784F7D">
              <w:rPr>
                <w:b/>
                <w:bCs/>
              </w:rPr>
              <w:t>Кол-во комнат</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FD03DE7" w14:textId="77777777" w:rsidR="00694BF7" w:rsidRPr="00784F7D" w:rsidRDefault="00694BF7" w:rsidP="002F5858">
            <w:pPr>
              <w:jc w:val="center"/>
              <w:rPr>
                <w:b/>
                <w:bCs/>
              </w:rPr>
            </w:pPr>
            <w:r w:rsidRPr="00784F7D">
              <w:rPr>
                <w:b/>
                <w:bCs/>
              </w:rPr>
              <w:t xml:space="preserve">Строительные </w:t>
            </w:r>
          </w:p>
          <w:p w14:paraId="22E3BC42" w14:textId="77777777" w:rsidR="00694BF7" w:rsidRPr="00784F7D" w:rsidRDefault="00694BF7" w:rsidP="002F5858">
            <w:pPr>
              <w:jc w:val="center"/>
              <w:rPr>
                <w:b/>
                <w:bCs/>
              </w:rPr>
            </w:pPr>
            <w:r w:rsidRPr="00784F7D">
              <w:rPr>
                <w:b/>
                <w:bCs/>
              </w:rPr>
              <w:t>оси</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5B9F4D7" w14:textId="77777777" w:rsidR="00694BF7" w:rsidRPr="00784F7D" w:rsidRDefault="00694BF7" w:rsidP="002F5858">
            <w:pPr>
              <w:jc w:val="center"/>
              <w:rPr>
                <w:b/>
                <w:bCs/>
              </w:rPr>
            </w:pPr>
            <w:r w:rsidRPr="00784F7D">
              <w:rPr>
                <w:b/>
                <w:bCs/>
              </w:rPr>
              <w:t xml:space="preserve">Уровень </w:t>
            </w:r>
          </w:p>
          <w:p w14:paraId="19F28CD0" w14:textId="77777777" w:rsidR="00694BF7" w:rsidRPr="00784F7D" w:rsidRDefault="00694BF7" w:rsidP="002F5858">
            <w:pPr>
              <w:jc w:val="center"/>
              <w:rPr>
                <w:b/>
                <w:bCs/>
              </w:rPr>
            </w:pPr>
            <w:r w:rsidRPr="00784F7D">
              <w:rPr>
                <w:b/>
                <w:bCs/>
              </w:rPr>
              <w:t>отметки</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910BD97" w14:textId="24E37937" w:rsidR="00694BF7" w:rsidRPr="00784F7D" w:rsidRDefault="00694BF7" w:rsidP="0076249F">
            <w:pPr>
              <w:jc w:val="center"/>
              <w:rPr>
                <w:b/>
                <w:bCs/>
              </w:rPr>
            </w:pPr>
            <w:r w:rsidRPr="00784F7D">
              <w:rPr>
                <w:b/>
                <w:bCs/>
              </w:rPr>
              <w:t>Проектная общая площадь,</w:t>
            </w:r>
          </w:p>
          <w:p w14:paraId="6245FBE8" w14:textId="77777777" w:rsidR="00694BF7" w:rsidRPr="00BD2E0E" w:rsidRDefault="00694BF7" w:rsidP="0076249F">
            <w:pPr>
              <w:jc w:val="center"/>
              <w:rPr>
                <w:b/>
                <w:bCs/>
              </w:rPr>
            </w:pPr>
            <w:r w:rsidRPr="00784F7D">
              <w:rPr>
                <w:b/>
                <w:bCs/>
              </w:rPr>
              <w:t>кв. м.</w:t>
            </w:r>
            <w:r w:rsidRPr="00BD2E0E">
              <w:rPr>
                <w:b/>
                <w:bCs/>
              </w:rPr>
              <w:t xml:space="preserve"> </w:t>
            </w:r>
          </w:p>
        </w:tc>
      </w:tr>
      <w:tr w:rsidR="00694BF7" w:rsidRPr="00BD2E0E" w14:paraId="5F784695"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70159B1" w14:textId="77777777" w:rsidR="00694BF7" w:rsidRPr="00BD2E0E" w:rsidRDefault="00694BF7"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9DAA268" w14:textId="77777777" w:rsidR="00694BF7" w:rsidRPr="00BD2E0E" w:rsidRDefault="00694BF7"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955815" w14:textId="77777777" w:rsidR="00694BF7" w:rsidRPr="00BD2E0E" w:rsidRDefault="00694BF7" w:rsidP="00291500">
            <w:pPr>
              <w:jc w:val="center"/>
            </w:pPr>
          </w:p>
        </w:tc>
        <w:tc>
          <w:tcPr>
            <w:tcW w:w="612" w:type="dxa"/>
            <w:tcBorders>
              <w:top w:val="single" w:sz="4" w:space="0" w:color="auto"/>
              <w:left w:val="single" w:sz="4" w:space="0" w:color="auto"/>
              <w:bottom w:val="single" w:sz="4" w:space="0" w:color="auto"/>
              <w:right w:val="single" w:sz="4" w:space="0" w:color="auto"/>
            </w:tcBorders>
            <w:noWrap/>
            <w:vAlign w:val="center"/>
          </w:tcPr>
          <w:p w14:paraId="2360F17A" w14:textId="77777777" w:rsidR="00694BF7" w:rsidRPr="00BD2E0E" w:rsidRDefault="00694BF7"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591C929C" w14:textId="77777777" w:rsidR="00694BF7" w:rsidRPr="00BD2E0E" w:rsidRDefault="00694BF7" w:rsidP="0029150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315AD7" w14:textId="77777777" w:rsidR="00694BF7" w:rsidRPr="00BD2E0E" w:rsidRDefault="00694BF7" w:rsidP="00291500">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76C0B9" w14:textId="77777777" w:rsidR="00694BF7" w:rsidRPr="00BD2E0E" w:rsidRDefault="00694BF7"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ECC5225" w14:textId="77777777" w:rsidR="00694BF7" w:rsidRPr="00BD2E0E" w:rsidRDefault="00694BF7" w:rsidP="00291500">
            <w:pPr>
              <w:jc w:val="center"/>
            </w:pPr>
          </w:p>
        </w:tc>
      </w:tr>
    </w:tbl>
    <w:p w14:paraId="2438A69C" w14:textId="77777777" w:rsidR="00694BF7" w:rsidRPr="00BD2E0E" w:rsidRDefault="00694BF7" w:rsidP="00C06AB9">
      <w:pPr>
        <w:spacing w:before="120" w:after="120"/>
        <w:jc w:val="center"/>
        <w:rPr>
          <w:b/>
          <w:color w:val="auto"/>
        </w:rPr>
      </w:pPr>
    </w:p>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444D" w14:textId="77777777" w:rsidR="00B93700" w:rsidRDefault="00B93700">
      <w:r>
        <w:separator/>
      </w:r>
    </w:p>
  </w:endnote>
  <w:endnote w:type="continuationSeparator" w:id="0">
    <w:p w14:paraId="76AB1F54" w14:textId="77777777" w:rsidR="00B93700" w:rsidRDefault="00B9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BBA0" w14:textId="77777777" w:rsidR="00B93700" w:rsidRDefault="00B93700">
      <w:r>
        <w:separator/>
      </w:r>
    </w:p>
  </w:footnote>
  <w:footnote w:type="continuationSeparator" w:id="0">
    <w:p w14:paraId="4C1CF853" w14:textId="77777777" w:rsidR="00B93700" w:rsidRDefault="00B9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40FF5"/>
    <w:rsid w:val="0004284C"/>
    <w:rsid w:val="00042DA4"/>
    <w:rsid w:val="00042E09"/>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C7B14"/>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21EB"/>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93700"/>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3340"/>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46002</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3</cp:revision>
  <cp:lastPrinted>2016-05-06T07:29:00Z</cp:lastPrinted>
  <dcterms:created xsi:type="dcterms:W3CDTF">2023-08-29T12:01:00Z</dcterms:created>
  <dcterms:modified xsi:type="dcterms:W3CDTF">2023-08-29T12:02:00Z</dcterms:modified>
</cp:coreProperties>
</file>