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4 -->
  <w:body>
    <w:p>
      <w:pPr>
        <w:spacing w:before="200" w:after="0" w:line="264" w:lineRule="atLeast"/>
        <w:ind w:left="0" w:right="0"/>
        <w:jc w:val="center"/>
        <w:rPr>
          <w:rFonts w:ascii="noto" w:eastAsia="noto" w:hAnsi="noto" w:cs="noto"/>
          <w:b/>
          <w:bCs/>
          <w:lang w:val="ru-RU" w:eastAsia="ru-RU" w:bidi="ar-SA"/>
        </w:rPr>
      </w:pPr>
      <w:r>
        <w:rPr>
          <w:rFonts w:ascii="noto" w:eastAsia="noto" w:hAnsi="noto" w:cs="noto"/>
          <w:b/>
          <w:bCs/>
          <w:lang w:val="ru-RU" w:eastAsia="ru-RU" w:bidi="ar-SA"/>
        </w:rPr>
        <w:t xml:space="preserve">‌ДОГОВОР </w:t>
      </w:r>
    </w:p>
    <w:p>
      <w:pPr>
        <w:spacing w:before="200" w:after="0" w:line="264" w:lineRule="atLeast"/>
        <w:ind w:left="0" w:right="0"/>
        <w:jc w:val="center"/>
        <w:rPr>
          <w:rFonts w:ascii="noto" w:eastAsia="noto" w:hAnsi="noto" w:cs="noto"/>
          <w:b/>
          <w:bCs/>
          <w:lang w:val="ru-RU" w:eastAsia="ru-RU" w:bidi="ar-SA"/>
        </w:rPr>
      </w:pPr>
      <w:r>
        <w:rPr>
          <w:rFonts w:ascii="noto" w:eastAsia="noto" w:hAnsi="noto" w:cs="noto"/>
          <w:b/>
          <w:bCs/>
          <w:lang w:val="ru-RU" w:eastAsia="ru-RU" w:bidi="ar-SA"/>
        </w:rPr>
        <w:t xml:space="preserve">‌УЧАСТИЯ В ДОЛЕВОМ СТРОИТЕЛЬСТВЕ </w:t>
      </w:r>
    </w:p>
    <w:p>
      <w:pPr>
        <w:spacing w:before="200" w:after="0" w:line="264" w:lineRule="atLeast"/>
        <w:ind w:left="0" w:right="0"/>
        <w:jc w:val="center"/>
        <w:rPr>
          <w:rFonts w:ascii="noto" w:eastAsia="noto" w:hAnsi="noto" w:cs="noto"/>
          <w:b/>
          <w:bCs/>
          <w:lang w:val="ru-RU" w:eastAsia="ru-RU" w:bidi="ar-SA"/>
        </w:rPr>
      </w:pPr>
      <w:r>
        <w:rPr>
          <w:rFonts w:ascii="noto" w:eastAsia="noto" w:hAnsi="noto" w:cs="noto"/>
          <w:b/>
          <w:bCs/>
          <w:lang w:val="ru-RU" w:eastAsia="ru-RU" w:bidi="ar-SA"/>
        </w:rPr>
        <w:t xml:space="preserve">‌№ ХХХХХ </w:t>
      </w:r>
    </w:p>
    <w:tbl>
      <w:tblPr>
        <w:tblStyle w:val="TableNormal"/>
        <w:tblW w:w="5000" w:type="pct"/>
        <w:tblCellSpacing w:w="15" w:type="dxa"/>
        <w:tblInd w:w="15" w:type="dxa"/>
        <w:tblCellMar>
          <w:top w:w="15" w:type="dxa"/>
          <w:left w:w="15" w:type="dxa"/>
          <w:bottom w:w="15" w:type="dxa"/>
          <w:right w:w="15" w:type="dxa"/>
        </w:tblCellMar>
      </w:tblPr>
      <w:tblGrid>
        <w:gridCol w:w="4673"/>
        <w:gridCol w:w="4673"/>
      </w:tblGrid>
      <w:tr>
        <w:tblPrEx>
          <w:tblW w:w="5000" w:type="pct"/>
          <w:tblCellSpacing w:w="15" w:type="dxa"/>
          <w:tblInd w:w="15" w:type="dxa"/>
          <w:tblCellMar>
            <w:top w:w="15" w:type="dxa"/>
            <w:left w:w="15" w:type="dxa"/>
            <w:bottom w:w="15" w:type="dxa"/>
            <w:right w:w="15" w:type="dxa"/>
          </w:tblCellMar>
        </w:tblPrEx>
        <w:trPr>
          <w:tblCellSpacing w:w="15" w:type="dxa"/>
        </w:trPr>
        <w:tc>
          <w:tcPr>
            <w:tcW w:w="4811" w:type="dxa"/>
            <w:noWrap w:val="0"/>
            <w:tcMar>
              <w:top w:w="15" w:type="dxa"/>
              <w:left w:w="15" w:type="dxa"/>
              <w:bottom w:w="15" w:type="dxa"/>
              <w:right w:w="15" w:type="dxa"/>
            </w:tcMar>
            <w:vAlign w:val="center"/>
            <w:hideMark/>
          </w:tcPr>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‌г. ХХХХХ</w:t>
            </w:r>
          </w:p>
        </w:tc>
        <w:tc>
          <w:tcPr>
            <w:tcW w:w="4811" w:type="dxa"/>
            <w:noWrap w:val="0"/>
            <w:tcMar>
              <w:top w:w="15" w:type="dxa"/>
              <w:left w:w="15" w:type="dxa"/>
              <w:bottom w:w="15" w:type="dxa"/>
              <w:right w:w="15" w:type="dxa"/>
            </w:tcMar>
            <w:vAlign w:val="center"/>
            <w:hideMark/>
          </w:tcPr>
          <w:p>
            <w:pPr>
              <w:spacing w:line="264" w:lineRule="atLeast"/>
              <w:jc w:val="right"/>
              <w:rPr>
                <w:rFonts w:ascii="noto" w:eastAsia="noto" w:hAnsi="noto" w:cs="noto"/>
                <w:color w:val="000000"/>
                <w:lang w:val="ru-RU" w:eastAsia="ru-RU" w:bidi="ar-SA"/>
              </w:rPr>
            </w:pPr>
            <w:r>
              <w:rPr>
                <w:rFonts w:ascii="noto" w:eastAsia="noto" w:hAnsi="noto" w:cs="noto"/>
                <w:color w:val="000000"/>
                <w:lang w:val="ru-RU" w:eastAsia="ru-RU" w:bidi="ar-SA"/>
              </w:rPr>
              <w:t>‌«ХХ» ХХХХХ 20ХХ г.</w:t>
            </w:r>
          </w:p>
        </w:tc>
      </w:tr>
    </w:tbl>
    <w:p>
      <w:pPr>
        <w:spacing w:line="264" w:lineRule="atLeast"/>
        <w:jc w:val="both"/>
        <w:rPr>
          <w:rFonts w:ascii="noto" w:eastAsia="noto" w:hAnsi="noto" w:cs="noto"/>
          <w:lang w:val="ru-RU" w:eastAsia="ru-RU" w:bidi="ar-SA"/>
        </w:rPr>
      </w:pPr>
    </w:p>
    <w:p>
      <w:pPr>
        <w:spacing w:line="264" w:lineRule="atLeast"/>
        <w:jc w:val="both"/>
        <w:rPr>
          <w:rFonts w:ascii="noto" w:eastAsia="noto" w:hAnsi="noto" w:cs="noto"/>
          <w:lang w:val="ru-RU" w:eastAsia="ru-RU" w:bidi="ar-SA"/>
        </w:rPr>
      </w:pPr>
      <w:r>
        <w:rPr>
          <w:rFonts w:ascii="noto" w:eastAsia="noto" w:hAnsi="noto" w:cs="noto"/>
          <w:lang w:val="ru-RU" w:eastAsia="ru-RU" w:bidi="ar-SA"/>
        </w:rPr>
        <w:t>‌</w:t>
      </w:r>
      <w:r>
        <w:rPr>
          <w:rFonts w:ascii="noto" w:eastAsia="noto" w:hAnsi="noto" w:cs="noto"/>
          <w:b/>
          <w:bCs/>
          <w:lang w:val="ru-RU" w:eastAsia="ru-RU" w:bidi="ar-SA"/>
        </w:rPr>
        <w:t>ХХХХХ</w:t>
      </w:r>
      <w:r>
        <w:rPr>
          <w:rFonts w:ascii="noto" w:eastAsia="noto" w:hAnsi="noto" w:cs="noto"/>
          <w:lang w:val="ru-RU" w:eastAsia="ru-RU" w:bidi="ar-SA"/>
        </w:rPr>
        <w:t xml:space="preserve">, именуемое в дальнейшем </w:t>
      </w:r>
      <w:r>
        <w:rPr>
          <w:rFonts w:ascii="noto" w:eastAsia="noto" w:hAnsi="noto" w:cs="noto"/>
          <w:b/>
          <w:bCs/>
          <w:lang w:val="ru-RU" w:eastAsia="ru-RU" w:bidi="ar-SA"/>
        </w:rPr>
        <w:t>«ЗАСТРОЙЩИК»</w:t>
      </w:r>
      <w:r>
        <w:rPr>
          <w:rFonts w:ascii="noto" w:eastAsia="noto" w:hAnsi="noto" w:cs="noto"/>
          <w:lang w:val="ru-RU" w:eastAsia="ru-RU" w:bidi="ar-SA"/>
        </w:rPr>
        <w:t xml:space="preserve">, в лице </w:t>
      </w:r>
      <w:r>
        <w:rPr>
          <w:rFonts w:ascii="noto" w:eastAsia="noto" w:hAnsi="noto" w:cs="noto"/>
          <w:lang w:val="ru-RU" w:eastAsia="ru-RU" w:bidi="ar-SA"/>
        </w:rPr>
        <w:t>ХХХХХ</w:t>
      </w:r>
      <w:r>
        <w:rPr>
          <w:rFonts w:ascii="noto" w:eastAsia="noto" w:hAnsi="noto" w:cs="noto"/>
          <w:lang w:val="ru-RU" w:eastAsia="ru-RU" w:bidi="ar-SA"/>
        </w:rPr>
        <w:t>, действующего на основании ХХХХХ, с одной стороны, и</w:t>
      </w:r>
    </w:p>
    <w:p>
      <w:pPr>
        <w:spacing w:line="264" w:lineRule="atLeast"/>
        <w:jc w:val="both"/>
        <w:rPr>
          <w:rFonts w:ascii="noto" w:eastAsia="noto" w:hAnsi="noto" w:cs="noto"/>
          <w:lang w:val="ru-RU" w:eastAsia="ru-RU" w:bidi="ar-SA"/>
        </w:rPr>
      </w:pPr>
      <w:r>
        <w:rPr>
          <w:rFonts w:ascii="noto" w:eastAsia="noto" w:hAnsi="noto" w:cs="noto"/>
          <w:lang w:val="ru-RU" w:eastAsia="ru-RU" w:bidi="ar-SA"/>
        </w:rPr>
        <w:t>‌</w:t>
      </w:r>
      <w:r>
        <w:rPr>
          <w:rFonts w:ascii="noto" w:eastAsia="noto" w:hAnsi="noto" w:cs="noto"/>
          <w:b/>
          <w:bCs/>
          <w:lang w:val="ru-RU" w:eastAsia="ru-RU" w:bidi="ar-SA"/>
        </w:rPr>
        <w:t>ХХХХХ</w:t>
      </w:r>
      <w:r>
        <w:rPr>
          <w:rFonts w:ascii="noto" w:eastAsia="noto" w:hAnsi="noto" w:cs="noto"/>
          <w:lang w:val="ru-RU" w:eastAsia="ru-RU" w:bidi="ar-SA"/>
        </w:rPr>
        <w:t xml:space="preserve">, именуемый в дальнейшем </w:t>
      </w:r>
      <w:r>
        <w:rPr>
          <w:rFonts w:ascii="noto" w:eastAsia="noto" w:hAnsi="noto" w:cs="noto"/>
          <w:b/>
          <w:bCs/>
          <w:lang w:val="ru-RU" w:eastAsia="ru-RU" w:bidi="ar-SA"/>
        </w:rPr>
        <w:t>«УЧАСТНИК ДОЛЕВОГО СТРОИТЕЛЬСТВА»</w:t>
      </w:r>
      <w:r>
        <w:rPr>
          <w:rFonts w:ascii="noto" w:eastAsia="noto" w:hAnsi="noto" w:cs="noto"/>
          <w:lang w:val="ru-RU" w:eastAsia="ru-RU" w:bidi="ar-SA"/>
        </w:rPr>
        <w:t xml:space="preserve">, с другой стороны, вместе именуемые </w:t>
      </w:r>
      <w:r>
        <w:rPr>
          <w:rFonts w:ascii="noto" w:eastAsia="noto" w:hAnsi="noto" w:cs="noto"/>
          <w:b/>
          <w:bCs/>
          <w:lang w:val="ru-RU" w:eastAsia="ru-RU" w:bidi="ar-SA"/>
        </w:rPr>
        <w:t>«Стороны»</w:t>
      </w:r>
      <w:r>
        <w:rPr>
          <w:rFonts w:ascii="noto" w:eastAsia="noto" w:hAnsi="noto" w:cs="noto"/>
          <w:lang w:val="ru-RU" w:eastAsia="ru-RU" w:bidi="ar-SA"/>
        </w:rPr>
        <w:t>, заключили настоящий Договор о нижеследующем:</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1. </w:t>
      </w:r>
      <w:r>
        <w:rPr>
          <w:rFonts w:ascii="noto" w:eastAsia="noto" w:hAnsi="noto" w:cs="noto"/>
          <w:b/>
          <w:bCs/>
          <w:lang w:val="ru-RU" w:eastAsia="ru-RU" w:bidi="ar-SA"/>
        </w:rPr>
        <w:t>‌ТЕРМИНЫ И ТОЛКОВАНИЯ</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1.1. </w:t>
      </w:r>
      <w:r>
        <w:rPr>
          <w:rFonts w:ascii="noto" w:eastAsia="noto" w:hAnsi="noto" w:cs="noto"/>
          <w:lang w:val="ru-RU" w:eastAsia="ru-RU" w:bidi="ar-SA"/>
        </w:rPr>
        <w:t>‌</w:t>
      </w:r>
      <w:r>
        <w:rPr>
          <w:rFonts w:ascii="noto" w:eastAsia="noto" w:hAnsi="noto" w:cs="noto"/>
          <w:b/>
          <w:bCs/>
          <w:lang w:val="ru-RU" w:eastAsia="ru-RU" w:bidi="ar-SA"/>
        </w:rPr>
        <w:t>Объект недвижимости</w:t>
      </w:r>
      <w:r>
        <w:rPr>
          <w:rFonts w:ascii="noto" w:eastAsia="noto" w:hAnsi="noto" w:cs="noto"/>
          <w:lang w:val="ru-RU" w:eastAsia="ru-RU" w:bidi="ar-SA"/>
        </w:rPr>
        <w:t xml:space="preserve"> – ХХХХХ.</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1.2. </w:t>
      </w:r>
      <w:r>
        <w:rPr>
          <w:rFonts w:ascii="noto" w:eastAsia="noto" w:hAnsi="noto" w:cs="noto"/>
          <w:lang w:val="ru-RU" w:eastAsia="ru-RU" w:bidi="ar-SA"/>
        </w:rPr>
        <w:t>‌</w:t>
      </w:r>
      <w:r>
        <w:rPr>
          <w:rFonts w:ascii="noto" w:eastAsia="noto" w:hAnsi="noto" w:cs="noto"/>
          <w:b/>
          <w:bCs/>
          <w:lang w:val="ru-RU" w:eastAsia="ru-RU" w:bidi="ar-SA"/>
        </w:rPr>
        <w:t>Объект долевого строительства</w:t>
      </w:r>
      <w:r>
        <w:rPr>
          <w:rFonts w:ascii="noto" w:eastAsia="noto" w:hAnsi="noto" w:cs="noto"/>
          <w:lang w:val="ru-RU" w:eastAsia="ru-RU" w:bidi="ar-SA"/>
        </w:rPr>
        <w:t xml:space="preserve"> – машино-место,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1.3. </w:t>
      </w:r>
      <w:r>
        <w:rPr>
          <w:rFonts w:ascii="noto" w:eastAsia="noto" w:hAnsi="noto" w:cs="noto"/>
          <w:lang w:val="ru-RU" w:eastAsia="ru-RU" w:bidi="ar-SA"/>
        </w:rPr>
        <w:t>‌</w:t>
      </w:r>
      <w:r>
        <w:rPr>
          <w:rFonts w:ascii="noto" w:eastAsia="noto" w:hAnsi="noto" w:cs="noto"/>
          <w:b/>
          <w:bCs/>
          <w:lang w:val="ru-RU" w:eastAsia="ru-RU" w:bidi="ar-SA"/>
        </w:rPr>
        <w:t>Проектная площадь Объекта долевого строительства</w:t>
      </w:r>
      <w:r>
        <w:rPr>
          <w:rFonts w:ascii="noto" w:eastAsia="noto" w:hAnsi="noto" w:cs="noto"/>
          <w:lang w:val="ru-RU" w:eastAsia="ru-RU" w:bidi="ar-SA"/>
        </w:rPr>
        <w:t xml:space="preserve"> – площадь по проекту без учета обмеров, произведенных кадастровым инженером, имеющим действующий квалификационный аттестат кадастрового инженера.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1.4. </w:t>
      </w:r>
      <w:r>
        <w:rPr>
          <w:rFonts w:ascii="noto" w:eastAsia="noto" w:hAnsi="noto" w:cs="noto"/>
          <w:lang w:val="ru-RU" w:eastAsia="ru-RU" w:bidi="ar-SA"/>
        </w:rPr>
        <w:t>‌</w:t>
      </w:r>
      <w:r>
        <w:rPr>
          <w:rFonts w:ascii="noto" w:eastAsia="noto" w:hAnsi="noto" w:cs="noto"/>
          <w:b/>
          <w:bCs/>
          <w:lang w:val="ru-RU" w:eastAsia="ru-RU" w:bidi="ar-SA"/>
        </w:rPr>
        <w:t>Площадь Объекта долевого строительства</w:t>
      </w:r>
      <w:r>
        <w:rPr>
          <w:rFonts w:ascii="noto" w:eastAsia="noto" w:hAnsi="noto" w:cs="noto"/>
          <w:lang w:val="ru-RU" w:eastAsia="ru-RU" w:bidi="ar-SA"/>
        </w:rPr>
        <w:t xml:space="preserve"> - площадь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2. </w:t>
      </w:r>
      <w:r>
        <w:rPr>
          <w:rFonts w:ascii="noto" w:eastAsia="noto" w:hAnsi="noto" w:cs="noto"/>
          <w:b/>
          <w:bCs/>
          <w:lang w:val="ru-RU" w:eastAsia="ru-RU" w:bidi="ar-SA"/>
        </w:rPr>
        <w:t>‌ПРАВОВОЕ ОБОСНОВАНИЕ ДОГОВОРА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2.1. </w:t>
      </w:r>
      <w:r>
        <w:rPr>
          <w:rFonts w:ascii="noto" w:eastAsia="noto" w:hAnsi="noto" w:cs="noto"/>
          <w:lang w:val="ru-RU" w:eastAsia="ru-RU" w:bidi="ar-SA"/>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2.2. </w:t>
      </w:r>
      <w:r>
        <w:rPr>
          <w:rFonts w:ascii="noto" w:eastAsia="noto" w:hAnsi="noto" w:cs="noto"/>
          <w:lang w:val="ru-RU" w:eastAsia="ru-RU" w:bidi="ar-SA"/>
        </w:rPr>
        <w:t>‌Правовым основанием для заключения настоящего Договора является:</w:t>
      </w:r>
    </w:p>
    <w:p>
      <w:pPr>
        <w:numPr>
          <w:ilvl w:val="0"/>
          <w:numId w:val="1"/>
        </w:numPr>
        <w:tabs>
          <w:tab w:val="left" w:pos="865"/>
        </w:tabs>
        <w:spacing w:before="0" w:line="264" w:lineRule="atLeast"/>
        <w:ind w:left="720" w:firstLine="0"/>
        <w:jc w:val="both"/>
        <w:rPr>
          <w:rFonts w:ascii="noto" w:eastAsia="noto" w:hAnsi="noto" w:cs="noto"/>
          <w:lang w:val="ru-RU" w:eastAsia="ru-RU" w:bidi="ar-SA"/>
        </w:rPr>
      </w:pPr>
      <w:r>
        <w:rPr>
          <w:rFonts w:ascii="noto" w:eastAsia="noto" w:hAnsi="noto" w:cs="noto"/>
          <w:lang w:val="ru-RU" w:eastAsia="ru-RU" w:bidi="ar-SA"/>
        </w:rPr>
        <w:t xml:space="preserve">ХХХХХ. </w:t>
      </w:r>
    </w:p>
    <w:p>
      <w:pPr>
        <w:numPr>
          <w:ilvl w:val="0"/>
          <w:numId w:val="1"/>
        </w:numPr>
        <w:tabs>
          <w:tab w:val="left" w:pos="865"/>
        </w:tabs>
        <w:spacing w:line="264" w:lineRule="atLeast"/>
        <w:ind w:left="720" w:firstLine="0"/>
        <w:jc w:val="both"/>
        <w:rPr>
          <w:rFonts w:ascii="noto" w:eastAsia="noto" w:hAnsi="noto" w:cs="noto"/>
          <w:lang w:val="ru-RU" w:eastAsia="ru-RU" w:bidi="ar-SA"/>
        </w:rPr>
      </w:pPr>
      <w:r>
        <w:rPr>
          <w:rFonts w:ascii="noto" w:eastAsia="noto" w:hAnsi="noto" w:cs="noto"/>
          <w:lang w:val="ru-RU" w:eastAsia="ru-RU" w:bidi="ar-SA"/>
        </w:rPr>
        <w:t xml:space="preserve">ХХХХХ. </w:t>
      </w:r>
    </w:p>
    <w:p>
      <w:pPr>
        <w:numPr>
          <w:ilvl w:val="0"/>
          <w:numId w:val="1"/>
        </w:numPr>
        <w:tabs>
          <w:tab w:val="left" w:pos="865"/>
        </w:tabs>
        <w:spacing w:after="0" w:line="264" w:lineRule="atLeast"/>
        <w:ind w:left="720" w:firstLine="0"/>
        <w:jc w:val="both"/>
        <w:rPr>
          <w:rFonts w:ascii="noto" w:eastAsia="noto" w:hAnsi="noto" w:cs="noto"/>
          <w:lang w:val="ru-RU" w:eastAsia="ru-RU" w:bidi="ar-SA"/>
        </w:rPr>
      </w:pPr>
      <w:r>
        <w:rPr>
          <w:rFonts w:ascii="noto" w:eastAsia="noto" w:hAnsi="noto" w:cs="noto"/>
          <w:lang w:val="ru-RU" w:eastAsia="ru-RU" w:bidi="ar-SA"/>
        </w:rPr>
        <w:t>Проектная декларация, размещенная в сети Интернет: в Единой информационной системе жилищного строительства.</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3. </w:t>
      </w:r>
      <w:r>
        <w:rPr>
          <w:rFonts w:ascii="noto" w:eastAsia="noto" w:hAnsi="noto" w:cs="noto"/>
          <w:b/>
          <w:bCs/>
          <w:lang w:val="ru-RU" w:eastAsia="ru-RU" w:bidi="ar-SA"/>
        </w:rPr>
        <w:t>‌ПРЕДМЕТ ДОГОВОРА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3.1. </w:t>
      </w:r>
      <w:r>
        <w:rPr>
          <w:rFonts w:ascii="noto" w:eastAsia="noto" w:hAnsi="noto" w:cs="noto"/>
          <w:lang w:val="ru-RU" w:eastAsia="ru-RU" w:bidi="ar-SA"/>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3.2. </w:t>
      </w:r>
      <w:r>
        <w:rPr>
          <w:rFonts w:ascii="noto" w:eastAsia="noto" w:hAnsi="noto" w:cs="noto"/>
          <w:lang w:val="ru-RU" w:eastAsia="ru-RU" w:bidi="ar-SA"/>
        </w:rPr>
        <w:t xml:space="preserve">‌Объект долевого строительства – назначение: </w:t>
      </w:r>
      <w:r>
        <w:rPr>
          <w:rFonts w:ascii="noto" w:eastAsia="noto" w:hAnsi="noto" w:cs="noto"/>
          <w:b/>
          <w:bCs/>
          <w:lang w:val="ru-RU" w:eastAsia="ru-RU" w:bidi="ar-SA"/>
        </w:rPr>
        <w:t>ХХХХ</w:t>
      </w:r>
      <w:r>
        <w:rPr>
          <w:rFonts w:ascii="noto" w:eastAsia="noto" w:hAnsi="noto" w:cs="noto"/>
          <w:lang w:val="ru-RU" w:eastAsia="ru-RU" w:bidi="ar-SA"/>
        </w:rPr>
        <w:t xml:space="preserve">, условный номер: </w:t>
      </w:r>
      <w:r>
        <w:rPr>
          <w:rFonts w:ascii="noto" w:eastAsia="noto" w:hAnsi="noto" w:cs="noto"/>
          <w:b/>
          <w:bCs/>
          <w:lang w:val="ru-RU" w:eastAsia="ru-RU" w:bidi="ar-SA"/>
        </w:rPr>
        <w:t>ХХХХ</w:t>
      </w:r>
      <w:r>
        <w:rPr>
          <w:rFonts w:ascii="noto" w:eastAsia="noto" w:hAnsi="noto" w:cs="noto"/>
          <w:lang w:val="ru-RU" w:eastAsia="ru-RU" w:bidi="ar-SA"/>
        </w:rPr>
        <w:t xml:space="preserve">, этаж расположения: </w:t>
      </w:r>
      <w:r>
        <w:rPr>
          <w:rFonts w:ascii="noto" w:eastAsia="noto" w:hAnsi="noto" w:cs="noto"/>
          <w:b/>
          <w:bCs/>
          <w:lang w:val="ru-RU" w:eastAsia="ru-RU" w:bidi="ar-SA"/>
        </w:rPr>
        <w:t>ХХ</w:t>
      </w:r>
      <w:r>
        <w:rPr>
          <w:rFonts w:ascii="noto" w:eastAsia="noto" w:hAnsi="noto" w:cs="noto"/>
          <w:lang w:val="ru-RU" w:eastAsia="ru-RU" w:bidi="ar-SA"/>
        </w:rPr>
        <w:t xml:space="preserve">, проектная площадь: </w:t>
      </w:r>
      <w:r>
        <w:rPr>
          <w:rFonts w:ascii="noto" w:eastAsia="noto" w:hAnsi="noto" w:cs="noto"/>
          <w:b/>
          <w:bCs/>
          <w:lang w:val="ru-RU" w:eastAsia="ru-RU" w:bidi="ar-SA"/>
        </w:rPr>
        <w:t>ХХ,ХХ</w:t>
      </w:r>
      <w:r>
        <w:rPr>
          <w:rFonts w:ascii="noto" w:eastAsia="noto" w:hAnsi="noto" w:cs="noto"/>
          <w:lang w:val="ru-RU" w:eastAsia="ru-RU" w:bidi="ar-SA"/>
        </w:rPr>
        <w:t xml:space="preserve"> кв.м., расположенный в Объекте недвижимости (далее – Объект долевого строительства). </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3.3. </w:t>
      </w:r>
      <w:r>
        <w:rPr>
          <w:rFonts w:ascii="noto" w:eastAsia="noto" w:hAnsi="noto" w:cs="noto"/>
          <w:lang w:val="ru-RU" w:eastAsia="ru-RU" w:bidi="ar-SA"/>
        </w:rPr>
        <w:t xml:space="preserve">‌Указанный адрес Объекта недвижимости является строительным адресом. По окончании строительства Объекту недвижимости будет присвоен почтовый адрес.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w:t>
      </w:r>
      <w:r>
        <w:rPr>
          <w:rFonts w:ascii="noto" w:eastAsia="noto" w:hAnsi="noto" w:cs="noto"/>
          <w:lang w:val="ru-RU" w:eastAsia="ru-RU" w:bidi="ar-SA"/>
        </w:rPr>
        <w:t>присваиваются фактические характеристики</w:t>
      </w:r>
      <w:r>
        <w:rPr>
          <w:rFonts w:ascii="noto" w:eastAsia="noto" w:hAnsi="noto" w:cs="noto"/>
          <w:lang w:val="ru-RU" w:eastAsia="ru-RU" w:bidi="ar-SA"/>
        </w:rPr>
        <w:t>‌.</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3.4. </w:t>
      </w:r>
      <w:r>
        <w:rPr>
          <w:rFonts w:ascii="noto" w:eastAsia="noto" w:hAnsi="noto" w:cs="noto"/>
          <w:lang w:val="ru-RU" w:eastAsia="ru-RU" w:bidi="ar-SA"/>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3.5. </w:t>
      </w:r>
      <w:r>
        <w:rPr>
          <w:rFonts w:ascii="noto" w:eastAsia="noto" w:hAnsi="noto" w:cs="noto"/>
          <w:lang w:val="ru-RU" w:eastAsia="ru-RU" w:bidi="ar-SA"/>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3.6. </w:t>
      </w:r>
      <w:r>
        <w:rPr>
          <w:rFonts w:ascii="noto" w:eastAsia="noto" w:hAnsi="noto" w:cs="noto"/>
          <w:lang w:val="ru-RU" w:eastAsia="ru-RU" w:bidi="ar-SA"/>
        </w:rPr>
        <w:t>‌Стороны пришли к соглашению, что размер допустимого изменения Площади Объекта долевого строительства, не более пяти процентов от Проектной площади Объекта долевого строительства.</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4. </w:t>
      </w:r>
      <w:r>
        <w:rPr>
          <w:rFonts w:ascii="noto" w:eastAsia="noto" w:hAnsi="noto" w:cs="noto"/>
          <w:b/>
          <w:bCs/>
          <w:lang w:val="ru-RU" w:eastAsia="ru-RU" w:bidi="ar-SA"/>
        </w:rPr>
        <w:t>‌ЦЕНА ДОГОВОРА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4.1. </w:t>
      </w:r>
      <w:r>
        <w:rPr>
          <w:rFonts w:ascii="noto" w:eastAsia="noto" w:hAnsi="noto" w:cs="noto"/>
          <w:lang w:val="ru-RU" w:eastAsia="ru-RU" w:bidi="ar-SA"/>
        </w:rPr>
        <w:t xml:space="preserve">‌Цена настоящего Договора составляет </w:t>
      </w:r>
      <w:r>
        <w:rPr>
          <w:rFonts w:ascii="noto" w:eastAsia="noto" w:hAnsi="noto" w:cs="noto"/>
          <w:b/>
          <w:bCs/>
          <w:lang w:val="ru-RU" w:eastAsia="ru-RU" w:bidi="ar-SA"/>
        </w:rPr>
        <w:t>ХХХХХ (ХХХХХХХ) рублей ХХ копеек</w:t>
      </w:r>
      <w:r>
        <w:rPr>
          <w:rFonts w:ascii="noto" w:eastAsia="noto" w:hAnsi="noto" w:cs="noto"/>
          <w:lang w:val="ru-RU" w:eastAsia="ru-RU" w:bidi="ar-SA"/>
        </w:rPr>
        <w:t>.</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4.2. </w:t>
      </w:r>
      <w:r>
        <w:rPr>
          <w:rFonts w:ascii="noto" w:eastAsia="noto" w:hAnsi="noto" w:cs="noto"/>
          <w:lang w:val="ru-RU" w:eastAsia="ru-RU" w:bidi="ar-SA"/>
        </w:rPr>
        <w:t>‌Цена Договора, указанная в п. 4.1., </w:t>
      </w:r>
      <w:r>
        <w:rPr>
          <w:rFonts w:ascii="noto" w:eastAsia="noto" w:hAnsi="noto" w:cs="noto"/>
          <w:lang w:val="ru-RU" w:eastAsia="ru-RU" w:bidi="ar-SA"/>
        </w:rPr>
        <w:t>является окончательной и не подлежит изменению</w:t>
      </w:r>
      <w:r>
        <w:rPr>
          <w:rFonts w:ascii="noto" w:eastAsia="noto" w:hAnsi="noto" w:cs="noto"/>
          <w:lang w:val="ru-RU" w:eastAsia="ru-RU" w:bidi="ar-SA"/>
        </w:rPr>
        <w:t>‌. </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4.3. </w:t>
      </w:r>
      <w:r>
        <w:rPr>
          <w:rFonts w:ascii="noto" w:eastAsia="noto" w:hAnsi="noto" w:cs="noto"/>
          <w:lang w:val="ru-RU" w:eastAsia="ru-RU" w:bidi="ar-SA"/>
        </w:rPr>
        <w:t>‌Расчеты по настоящему Договору осуществляются путем внесения УЧАСТНИКОМ ДОЛЕВОГО СТРОИТЕЛЬСТВА Цены Договора в размере ХХХХХ рублей ХХ копеек на счет эскроу, открываемый в Банке ХХХХХ (ХХХХХ), являющемся кредитной организацией по законодательству Российской Федерации, Генеральная лицензия Банка России на осуществление банковских операций № ХХХХХ, местонахождение: ХХХХХ, почтовый адрес: ХХХХХ, кор/счет в ХХХХХ № ХХХХХ, ИНН ХХХХХ, БИК ХХХХХ, адрес электронной почты: ХХХХХ, телефон ХХХХХ, (далее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 Счет эскроу открывается УЧАСТНИКОМ ДОЛЕВОГО СТРОИТЕЛЬСТВА в Эскроу-агенте 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 </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4.4. </w:t>
      </w:r>
      <w:r>
        <w:rPr>
          <w:rFonts w:ascii="noto" w:eastAsia="noto" w:hAnsi="noto" w:cs="noto"/>
          <w:lang w:val="ru-RU" w:eastAsia="ru-RU" w:bidi="ar-SA"/>
        </w:rPr>
        <w:t>‌Стороны пришли к соглашению о том,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Проектной площади Объекта долевого строительства. </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4.5. </w:t>
      </w:r>
      <w:r>
        <w:rPr>
          <w:rFonts w:ascii="noto" w:eastAsia="noto" w:hAnsi="noto" w:cs="noto"/>
          <w:lang w:val="ru-RU" w:eastAsia="ru-RU" w:bidi="ar-SA"/>
        </w:rPr>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п. 4.3. настоящего Договора. УЧАСТНИК ДОЛЕВОГО СТРОИТЕЛЬСТВА должен выполнить обязательство по оплате Цены Договора до ввода в эксплуатацию Объекта недвижимости.</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4.6. </w:t>
      </w:r>
      <w:r>
        <w:rPr>
          <w:rFonts w:ascii="noto" w:eastAsia="noto" w:hAnsi="noto" w:cs="noto"/>
          <w:lang w:val="ru-RU" w:eastAsia="ru-RU" w:bidi="ar-SA"/>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4.7. </w:t>
      </w:r>
      <w:r>
        <w:rPr>
          <w:rFonts w:ascii="noto" w:eastAsia="noto" w:hAnsi="noto" w:cs="noto"/>
          <w:lang w:val="ru-RU" w:eastAsia="ru-RU" w:bidi="ar-SA"/>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5. </w:t>
      </w:r>
      <w:r>
        <w:rPr>
          <w:rFonts w:ascii="noto" w:eastAsia="noto" w:hAnsi="noto" w:cs="noto"/>
          <w:b/>
          <w:bCs/>
          <w:lang w:val="ru-RU" w:eastAsia="ru-RU" w:bidi="ar-SA"/>
        </w:rPr>
        <w:t>‌СРОК И ПОРЯДОК ПЕРЕДАЧИ ОБЪЕКТА ДОЛЕВОГО СТРОИТЕЛЬСТВА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5.1. </w:t>
      </w:r>
      <w:r>
        <w:rPr>
          <w:rFonts w:ascii="noto" w:eastAsia="noto" w:hAnsi="noto" w:cs="noto"/>
          <w:lang w:val="ru-RU" w:eastAsia="ru-RU" w:bidi="ar-SA"/>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pPr>
        <w:spacing w:line="264" w:lineRule="atLeast"/>
        <w:ind w:firstLine="0"/>
        <w:jc w:val="both"/>
        <w:rPr>
          <w:rFonts w:ascii="noto" w:eastAsia="noto" w:hAnsi="noto" w:cs="noto"/>
          <w:lang w:val="ru-RU" w:eastAsia="ru-RU" w:bidi="ar-SA"/>
        </w:rPr>
      </w:pPr>
      <w:r>
        <w:rPr>
          <w:rFonts w:ascii="noto" w:eastAsia="noto" w:hAnsi="noto" w:cs="noto"/>
          <w:lang w:val="ru-RU" w:eastAsia="ru-RU" w:bidi="ar-SA"/>
        </w:rPr>
        <w:t>5.1.1. </w:t>
      </w:r>
      <w:r>
        <w:rPr>
          <w:rFonts w:ascii="noto" w:eastAsia="noto" w:hAnsi="noto" w:cs="noto"/>
          <w:lang w:val="ru-RU" w:eastAsia="ru-RU" w:bidi="ar-SA"/>
        </w:rPr>
        <w:t>‌начало периода - ХХХХХ года.</w:t>
      </w:r>
    </w:p>
    <w:p>
      <w:pPr>
        <w:spacing w:line="264" w:lineRule="atLeast"/>
        <w:ind w:firstLine="0"/>
        <w:jc w:val="both"/>
        <w:rPr>
          <w:rFonts w:ascii="noto" w:eastAsia="noto" w:hAnsi="noto" w:cs="noto"/>
          <w:lang w:val="ru-RU" w:eastAsia="ru-RU" w:bidi="ar-SA"/>
        </w:rPr>
      </w:pPr>
      <w:r>
        <w:rPr>
          <w:rFonts w:ascii="noto" w:eastAsia="noto" w:hAnsi="noto" w:cs="noto"/>
          <w:lang w:val="ru-RU" w:eastAsia="ru-RU" w:bidi="ar-SA"/>
        </w:rPr>
        <w:t>5.1.2. </w:t>
      </w:r>
      <w:r>
        <w:rPr>
          <w:rFonts w:ascii="noto" w:eastAsia="noto" w:hAnsi="noto" w:cs="noto"/>
          <w:lang w:val="ru-RU" w:eastAsia="ru-RU" w:bidi="ar-SA"/>
        </w:rPr>
        <w:t>‌окончание периода - не позднее ХХХХХ года.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5.2. </w:t>
      </w:r>
      <w:r>
        <w:rPr>
          <w:rFonts w:ascii="noto" w:eastAsia="noto" w:hAnsi="noto" w:cs="noto"/>
          <w:lang w:val="ru-RU" w:eastAsia="ru-RU" w:bidi="ar-SA"/>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5.3. </w:t>
      </w:r>
      <w:r>
        <w:rPr>
          <w:rFonts w:ascii="noto" w:eastAsia="noto" w:hAnsi="noto" w:cs="noto"/>
          <w:lang w:val="ru-RU" w:eastAsia="ru-RU" w:bidi="ar-SA"/>
        </w:rPr>
        <w:t>‌Обязательство ЗАСТРОЙЩИКА по передаче Объекта долевого строительства является встречным (ст. 328 ГК РФ) по отношению к обязательству УЧАСТНИКА ДОЛЕВОГО СТРОИТЕЛЬСТВА по оплате Цены Договора в полном объеме, установленному разделом 4 настоящего Договора</w:t>
      </w:r>
      <w:r>
        <w:rPr>
          <w:rFonts w:ascii="noto" w:eastAsia="noto" w:hAnsi="noto" w:cs="noto"/>
          <w:lang w:val="ru-RU" w:eastAsia="ru-RU" w:bidi="ar-SA"/>
        </w:rPr>
        <w:t>.</w:t>
      </w:r>
      <w:r>
        <w:rPr>
          <w:rFonts w:ascii="noto" w:eastAsia="noto" w:hAnsi="noto" w:cs="noto"/>
          <w:lang w:val="ru-RU" w:eastAsia="ru-RU" w:bidi="ar-SA"/>
        </w:rPr>
        <w:t>‌ 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 ФЗ.</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5.4. </w:t>
      </w:r>
      <w:r>
        <w:rPr>
          <w:rFonts w:ascii="noto" w:eastAsia="noto" w:hAnsi="noto" w:cs="noto"/>
          <w:lang w:val="ru-RU" w:eastAsia="ru-RU" w:bidi="ar-SA"/>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5.5. </w:t>
      </w:r>
      <w:r>
        <w:rPr>
          <w:rFonts w:ascii="noto" w:eastAsia="noto" w:hAnsi="noto" w:cs="noto"/>
          <w:lang w:val="ru-RU" w:eastAsia="ru-RU" w:bidi="ar-SA"/>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градостроительных регламентов, от иных обязательных требований.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5.6. </w:t>
      </w:r>
      <w:r>
        <w:rPr>
          <w:rFonts w:ascii="noto" w:eastAsia="noto" w:hAnsi="noto" w:cs="noto"/>
          <w:lang w:val="ru-RU" w:eastAsia="ru-RU" w:bidi="ar-SA"/>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5.7. </w:t>
      </w:r>
      <w:r>
        <w:rPr>
          <w:rFonts w:ascii="noto" w:eastAsia="noto" w:hAnsi="noto" w:cs="noto"/>
          <w:lang w:val="ru-RU" w:eastAsia="ru-RU" w:bidi="ar-SA"/>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5.8. </w:t>
      </w:r>
      <w:r>
        <w:rPr>
          <w:rFonts w:ascii="noto" w:eastAsia="noto" w:hAnsi="noto" w:cs="noto"/>
          <w:lang w:val="ru-RU" w:eastAsia="ru-RU" w:bidi="ar-SA"/>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5.9. </w:t>
      </w:r>
      <w:r>
        <w:rPr>
          <w:rFonts w:ascii="noto" w:eastAsia="noto" w:hAnsi="noto" w:cs="noto"/>
          <w:lang w:val="ru-RU" w:eastAsia="ru-RU" w:bidi="ar-SA"/>
        </w:rPr>
        <w:t>‌В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5.10. </w:t>
      </w:r>
      <w:r>
        <w:rPr>
          <w:rFonts w:ascii="noto" w:eastAsia="noto" w:hAnsi="noto" w:cs="noto"/>
          <w:lang w:val="ru-RU" w:eastAsia="ru-RU" w:bidi="ar-SA"/>
        </w:rPr>
        <w:t xml:space="preserve">‌Если УЧАСТНИК ДОЛЕВОГО СТРОИТЕЛЬСТВА при выявлении недостатков Объекта долевого строительства в качестве способа защиты своего права выбирает безвозмездное устранение ЗАСТРОЙЩИКОМ недостатков, Стороны, составляют Акт и указывают в нем срок устранения выявленных недостатков, не превышающий 45 (Сорок пять) дней.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 xml:space="preserve">‌В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в соответствии с действующим законодательством от стоимости расходов, необходимых для устранения такого недостатка (дефекта). </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5.11. </w:t>
      </w:r>
      <w:r>
        <w:rPr>
          <w:rFonts w:ascii="noto" w:eastAsia="noto" w:hAnsi="noto" w:cs="noto"/>
          <w:lang w:val="ru-RU" w:eastAsia="ru-RU" w:bidi="ar-SA"/>
        </w:rPr>
        <w:t>‌Подписание Передаточного акта не может быть поставлено в зависимость от уплаты Сторонами неустойки, предусмотренной настоящим Договором.</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6. </w:t>
      </w:r>
      <w:r>
        <w:rPr>
          <w:rFonts w:ascii="noto" w:eastAsia="noto" w:hAnsi="noto" w:cs="noto"/>
          <w:b/>
          <w:bCs/>
          <w:lang w:val="ru-RU" w:eastAsia="ru-RU" w:bidi="ar-SA"/>
        </w:rPr>
        <w:t>‌ГАРАНТИИ КАЧЕСТВА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6.1. </w:t>
      </w:r>
      <w:r>
        <w:rPr>
          <w:rFonts w:ascii="noto" w:eastAsia="noto" w:hAnsi="noto" w:cs="noto"/>
          <w:lang w:val="ru-RU" w:eastAsia="ru-RU" w:bidi="ar-SA"/>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6.2. </w:t>
      </w:r>
      <w:r>
        <w:rPr>
          <w:rFonts w:ascii="noto" w:eastAsia="noto" w:hAnsi="noto" w:cs="noto"/>
          <w:lang w:val="ru-RU" w:eastAsia="ru-RU" w:bidi="ar-SA"/>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6.3. </w:t>
      </w:r>
      <w:r>
        <w:rPr>
          <w:rFonts w:ascii="noto" w:eastAsia="noto" w:hAnsi="noto" w:cs="noto"/>
          <w:lang w:val="ru-RU" w:eastAsia="ru-RU" w:bidi="ar-SA"/>
        </w:rPr>
        <w:t xml:space="preserve">‌При выявлении УЧАСТНИКОМ ДОЛЕВОГО СТРОИТЕЛЬСТВА в течение гарантийного срока недостатков в Объекте долевого строительства УЧАСТНИК ДОЛЕВОГО СТРОИТЕЛЬСТВА руководствуясь ч. 2 ст. 7 ФЗ No 214-ФЗ вправе по своему выбору: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‌либо потребовать от ЗАСТРОЙЩИКА безвозмездного устранения недостатков в срок, не превышающий 45 (Сорок пять) дней, с даты Акта обследования, подписанного Сторонами, либо самостоятельно или с привлечением третьих лиц устранить недостатки, в таком случае УЧАСТНИК ДОЛЕВОГО СТРОИТЕЛЬСТВА до начала устранения недостатков направляет ЗАСТРОЙЩИКУ через Личный кабинет УЧАСТНИКА ДОЛЕВОГО СТРОИТЕЛЬСТВА на сайте www.pik.ru уведомление об этом, обеспечивает доступ ЗАСТРОЙЩИКА в Объект долевого строительства для совместной оценки и фиксации объема материалов и иных изделий, необходимых для устранения недостатков, путем подписания комиссионного акта обследования, а ЗАСТРОЙЩИК обязан в течение 45 календарных дней с даты комиссионного акта обследования, предоставить УЧАСТНИКУ ДОЛЕВОГО СТРОИТЕЛЬСТВА материалы и иные изделия, которые были использованы при производстве отделочных работ в Объекте долевого строительства, указанные в "Каталоге материалов и иных изделий, применяемых при производстве отделочных работ", размещенном в Личном кабинете УЧАСТНИКА ДОЛЕВОГО СТРОИТЕЛЬСТВА на сайте www.pik.ru, либо их аналоги того же класса, в объеме указанном в комиссионном акте обследования, и возместить понесенные УЧАСТНИКОМ ДОЛЕВОГО СТРОИТЕЛЬСТВА расходы за вычетом стоимости предоставленных ЗАСТРОЙЩИКОМ материалов и иных изделий, либо потребовать соразмерного уменьшения цены Договора за вычетом стоимости предоставленных ЗАСТРОЙЩИКОМ материалов и иных изделий, в таком случае УЧАСТНИК ДОЛЕВОГО СТРОИТЕЛЬСТВА направляет ЗАСТРОЙЩИКУ через Личный кабинет УЧАСТНИКА ДОЛЕВОГО СТРОИТЕЛЬСТВА на сайте www.pik.ru уведомление об этом, обеспечивает доступ ЗАСТРОЙЩИКА в Объект долевого строительства для совместной оценки и фиксации объема материалов и иных изделий, необходимых для устранения недостатков, путем подписания комиссионного акта обследования, а ЗАСТРОЙЩИК обязан в течение 45 календарных дней с даты комиссионного акта обследования, предоставить УЧАСТНИКУ ДОЛЕВОГО СТРОИТЕЛЬСТВА материалы и иные изделия, которые были использованы при производстве отделочных работ в Объекте долевого строительства, в объеме указанном в комиссионном акте обследования.</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6.4. </w:t>
      </w:r>
      <w:r>
        <w:rPr>
          <w:rFonts w:ascii="noto" w:eastAsia="noto" w:hAnsi="noto" w:cs="noto"/>
          <w:lang w:val="ru-RU" w:eastAsia="ru-RU" w:bidi="ar-SA"/>
        </w:rPr>
        <w:t>‌Если УЧАСТНИК ДОЛЕВОГО СТРОИТЕЛЬСТВА в качестве способа защиты своего права выбирает взыскание стоимости расходов на устранение недостатков, с учетом стоимости материалов и иных изделий, в объеме необходимом для устранения таких недостатков, то указанная стоимость рассчитывается исходя из среднерыночной стоимости материалов и иных изделий, указанных в Инструкции по эксплуатации Объекта долевого строительства.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6.5. </w:t>
      </w:r>
      <w:r>
        <w:rPr>
          <w:rFonts w:ascii="noto" w:eastAsia="noto" w:hAnsi="noto" w:cs="noto"/>
          <w:lang w:val="ru-RU" w:eastAsia="ru-RU" w:bidi="ar-SA"/>
        </w:rPr>
        <w:t>‌Если УЧАСТНИК ДОЛЕВОГО СТРОИТЕЛЬСТВА выберет в качестве способа защиты своего права соразмерное уменьшения Цены Договора или возмещение своих расходов на устранение недостатков, с заменой материалов и иных изделий на новые стоимостью согласно п. 6.4 настоящего Договора, то подлежащие замене материалы и иные изделия должны быть демонтированы УЧАСТНИКОМ ДОЛЕВОГО СТРОИТЕЛЬСТВА и возвращены ЗАСТРОЙЩИКУ после получения компенсации УЧАСТНИКОМ ДОЛЕВОГО СТРОИТЕЛЬСТВА. УЧАСТНИК ДОЛЕВОГО СТРОИТЕЛЬСТВА в срок не позднее 5 (Пяти) дней с даты получения компенсации направляет ЗАСТРОЙЩИКУ уведомление на электронную почту info@pik.ru о готовности передать демонтированные материалы и иные изделия, Стороны согласовывают дату, способ передачи и перечень передаваемых демонтированных материалов и иных изделий путем обмена электронными письмами. ЗАСТРОЙЩИК вправе отказаться от получения демонтированных материалов и иных изделий, в этом случае УЧАСТНИК ДОЛЕВОГО СТРОИТЕЛЬСТВА вправе распорядиться демонтированными материалами и иными изделиями по своему усмотрению.</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7. </w:t>
      </w:r>
      <w:r>
        <w:rPr>
          <w:rFonts w:ascii="noto" w:eastAsia="noto" w:hAnsi="noto" w:cs="noto"/>
          <w:b/>
          <w:bCs/>
          <w:lang w:val="ru-RU" w:eastAsia="ru-RU" w:bidi="ar-SA"/>
        </w:rPr>
        <w:t>‌ОБЯЗАННОСТИ ЗАСТРОЙЩИКА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7.1. </w:t>
      </w:r>
      <w:r>
        <w:rPr>
          <w:rFonts w:ascii="noto" w:eastAsia="noto" w:hAnsi="noto" w:cs="noto"/>
          <w:lang w:val="ru-RU" w:eastAsia="ru-RU" w:bidi="ar-SA"/>
        </w:rPr>
        <w:t>‌По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7.2. </w:t>
      </w:r>
      <w:r>
        <w:rPr>
          <w:rFonts w:ascii="noto" w:eastAsia="noto" w:hAnsi="noto" w:cs="noto"/>
          <w:lang w:val="ru-RU" w:eastAsia="ru-RU" w:bidi="ar-SA"/>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8. </w:t>
      </w:r>
      <w:r>
        <w:rPr>
          <w:rFonts w:ascii="noto" w:eastAsia="noto" w:hAnsi="noto" w:cs="noto"/>
          <w:b/>
          <w:bCs/>
          <w:lang w:val="ru-RU" w:eastAsia="ru-RU" w:bidi="ar-SA"/>
        </w:rPr>
        <w:t>‌ОБЯЗАННОСТИ УЧАСТНИКА ДОЛЕВОГО СТРОИТЕЛЬСТВА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8.1. </w:t>
      </w:r>
      <w:r>
        <w:rPr>
          <w:rFonts w:ascii="noto" w:eastAsia="noto" w:hAnsi="noto" w:cs="noto"/>
          <w:lang w:val="ru-RU" w:eastAsia="ru-RU" w:bidi="ar-SA"/>
        </w:rPr>
        <w:t>‌Уплатить Цену Договора в порядке, установленном настоящим Договором.</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8.2. </w:t>
      </w:r>
      <w:r>
        <w:rPr>
          <w:rFonts w:ascii="noto" w:eastAsia="noto" w:hAnsi="noto" w:cs="noto"/>
          <w:lang w:val="ru-RU" w:eastAsia="ru-RU" w:bidi="ar-SA"/>
        </w:rPr>
        <w:t>‌В случаях, предусмотренных настоящим Договором, подписать необходимые дополнительные соглашения к настоящему Договору.</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8.3. </w:t>
      </w:r>
      <w:r>
        <w:rPr>
          <w:rFonts w:ascii="noto" w:eastAsia="noto" w:hAnsi="noto" w:cs="noto"/>
          <w:lang w:val="ru-RU" w:eastAsia="ru-RU" w:bidi="ar-SA"/>
        </w:rPr>
        <w:t>‌Принять Объект долевого строительства по Передаточному акту в порядке, установленном настоящим Договором.</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8.4. </w:t>
      </w:r>
      <w:r>
        <w:rPr>
          <w:rFonts w:ascii="noto" w:eastAsia="noto" w:hAnsi="noto" w:cs="noto"/>
          <w:lang w:val="ru-RU" w:eastAsia="ru-RU" w:bidi="ar-SA"/>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услуг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услуг по управлению общедомовым имуществом Объекта недвижимости.</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8.5. </w:t>
      </w:r>
      <w:r>
        <w:rPr>
          <w:rFonts w:ascii="noto" w:eastAsia="noto" w:hAnsi="noto" w:cs="noto"/>
          <w:lang w:val="ru-RU" w:eastAsia="ru-RU" w:bidi="ar-SA"/>
        </w:rPr>
        <w:t xml:space="preserve">‌Уклонение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w:t>
      </w:r>
      <w:r>
        <w:rPr>
          <w:rFonts w:ascii="noto" w:eastAsia="noto" w:hAnsi="noto" w:cs="noto"/>
          <w:lang w:val="ru-RU" w:eastAsia="ru-RU" w:bidi="ar-SA"/>
        </w:rPr>
        <w:t>коммунальных услуг</w:t>
      </w:r>
      <w:r>
        <w:rPr>
          <w:rFonts w:ascii="noto" w:eastAsia="noto" w:hAnsi="noto" w:cs="noto"/>
          <w:lang w:val="ru-RU" w:eastAsia="ru-RU" w:bidi="ar-SA"/>
        </w:rPr>
        <w:t>‌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8.6. </w:t>
      </w:r>
      <w:r>
        <w:rPr>
          <w:rFonts w:ascii="noto" w:eastAsia="noto" w:hAnsi="noto" w:cs="noto"/>
          <w:lang w:val="ru-RU" w:eastAsia="ru-RU" w:bidi="ar-SA"/>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Pr>
          <w:rFonts w:ascii="noto" w:eastAsia="noto" w:hAnsi="noto" w:cs="noto"/>
          <w:lang w:val="ru-RU" w:eastAsia="ru-RU" w:bidi="ar-SA"/>
        </w:rPr>
        <w:t>описи (расписки)</w:t>
      </w:r>
      <w:r>
        <w:rPr>
          <w:rFonts w:ascii="noto" w:eastAsia="noto" w:hAnsi="noto" w:cs="noto"/>
          <w:lang w:val="ru-RU" w:eastAsia="ru-RU" w:bidi="ar-SA"/>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Х (ХХХ) рабочих дней с даты подписания настоящего Договора.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‌В случае если в указанный срок УЧАСТНИК ДОЛЕВОГО СТРОИТЕЛЬСТВА не представит ЗАСТРОЙЩИКУ оригинал описи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8.7. </w:t>
      </w:r>
      <w:r>
        <w:rPr>
          <w:rFonts w:ascii="noto" w:eastAsia="noto" w:hAnsi="noto" w:cs="noto"/>
          <w:lang w:val="ru-RU" w:eastAsia="ru-RU" w:bidi="ar-SA"/>
        </w:rPr>
        <w:t xml:space="preserve">‌Осуществить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Х (ХХХ) рабочих дней с даты подписания настоящего Договора.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8.8. </w:t>
      </w:r>
      <w:r>
        <w:rPr>
          <w:rFonts w:ascii="noto" w:eastAsia="noto" w:hAnsi="noto" w:cs="noto"/>
          <w:lang w:val="ru-RU" w:eastAsia="ru-RU" w:bidi="ar-SA"/>
        </w:rPr>
        <w:t>‌УЧАСТНИК ДОЛЕВОГО СТРОИТЕЛЬСТВА обязан в течение 1 (одного) рабочего дня с даты уведомления ЗАСТРОЙЩИКА и/или Эскроу-агента о выявлении ошибки в счете эскроу и/или в договоре счета эскроу, обратиться в Эскроу-агент для осуществления действий, необходимых для дальнейшего перечисления оплаченных УЧАСТНИКОМ ДОЛЕВОГО СТРОИТЕЛЬСТВА денежных средств Эскроу-агентом ЗАСТРОЙЩИКУ, при наступлении условий, предусмотренных ФЗ № 214-ФЗ.</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9. </w:t>
      </w:r>
      <w:r>
        <w:rPr>
          <w:rFonts w:ascii="noto" w:eastAsia="noto" w:hAnsi="noto" w:cs="noto"/>
          <w:b/>
          <w:bCs/>
          <w:lang w:val="ru-RU" w:eastAsia="ru-RU" w:bidi="ar-SA"/>
        </w:rPr>
        <w:t>‌ОСОБЫЕ УСЛОВИЯ</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9.1. </w:t>
      </w:r>
      <w:r>
        <w:rPr>
          <w:rFonts w:ascii="noto" w:eastAsia="noto" w:hAnsi="noto" w:cs="noto"/>
          <w:lang w:val="ru-RU" w:eastAsia="ru-RU" w:bidi="ar-SA"/>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земельных участков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9.2. </w:t>
      </w:r>
      <w:r>
        <w:rPr>
          <w:rFonts w:ascii="noto" w:eastAsia="noto" w:hAnsi="noto" w:cs="noto"/>
          <w:lang w:val="ru-RU" w:eastAsia="ru-RU" w:bidi="ar-SA"/>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9.3. </w:t>
      </w:r>
      <w:r>
        <w:rPr>
          <w:rFonts w:ascii="noto" w:eastAsia="noto" w:hAnsi="noto" w:cs="noto"/>
          <w:lang w:val="ru-RU" w:eastAsia="ru-RU" w:bidi="ar-SA"/>
        </w:rPr>
        <w:t xml:space="preserve">‌УЧАСТНИК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ч.3. ст. 382 Гражданского кодекса Российской Федерации.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9.4. </w:t>
      </w:r>
      <w:r>
        <w:rPr>
          <w:rFonts w:ascii="noto" w:eastAsia="noto" w:hAnsi="noto" w:cs="noto"/>
          <w:lang w:val="ru-RU" w:eastAsia="ru-RU" w:bidi="ar-SA"/>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9.5. </w:t>
      </w:r>
      <w:r>
        <w:rPr>
          <w:rFonts w:ascii="noto" w:eastAsia="noto" w:hAnsi="noto" w:cs="noto"/>
          <w:lang w:val="ru-RU" w:eastAsia="ru-RU" w:bidi="ar-SA"/>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10. </w:t>
      </w:r>
      <w:r>
        <w:rPr>
          <w:rFonts w:ascii="noto" w:eastAsia="noto" w:hAnsi="noto" w:cs="noto"/>
          <w:b/>
          <w:bCs/>
          <w:lang w:val="ru-RU" w:eastAsia="ru-RU" w:bidi="ar-SA"/>
        </w:rPr>
        <w:t>‌ОТВЕТСТВЕННОСТЬ СТОРОН</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10.1. </w:t>
      </w:r>
      <w:r>
        <w:rPr>
          <w:rFonts w:ascii="noto" w:eastAsia="noto" w:hAnsi="noto" w:cs="noto"/>
          <w:lang w:val="ru-RU" w:eastAsia="ru-RU" w:bidi="ar-SA"/>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10.2. </w:t>
      </w:r>
      <w:r>
        <w:rPr>
          <w:rFonts w:ascii="noto" w:eastAsia="noto" w:hAnsi="noto" w:cs="noto"/>
          <w:lang w:val="ru-RU" w:eastAsia="ru-RU" w:bidi="ar-SA"/>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10.3. </w:t>
      </w:r>
      <w:r>
        <w:rPr>
          <w:rFonts w:ascii="noto" w:eastAsia="noto" w:hAnsi="noto" w:cs="noto"/>
          <w:lang w:val="ru-RU" w:eastAsia="ru-RU" w:bidi="ar-SA"/>
        </w:rPr>
        <w:t>‌В части, не оговоренной в настоящем разделе, Стороны несут ответственность в соответствии с действующим законодательством РФ.</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10.4. </w:t>
      </w:r>
      <w:r>
        <w:rPr>
          <w:rFonts w:ascii="noto" w:eastAsia="noto" w:hAnsi="noto" w:cs="noto"/>
          <w:lang w:val="ru-RU" w:eastAsia="ru-RU" w:bidi="ar-SA"/>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11. </w:t>
      </w:r>
      <w:r>
        <w:rPr>
          <w:rFonts w:ascii="noto" w:eastAsia="noto" w:hAnsi="noto" w:cs="noto"/>
          <w:b/>
          <w:bCs/>
          <w:lang w:val="ru-RU" w:eastAsia="ru-RU" w:bidi="ar-SA"/>
        </w:rPr>
        <w:t>‌ОБСТОЯТЕЛЬСТВА НЕПРЕОДОЛИМОЙ СИЛЫ (ФОРС-МАЖОР)</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11.1. </w:t>
      </w:r>
      <w:r>
        <w:rPr>
          <w:rFonts w:ascii="noto" w:eastAsia="noto" w:hAnsi="noto" w:cs="noto"/>
          <w:lang w:val="ru-RU" w:eastAsia="ru-RU" w:bidi="ar-SA"/>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11.2. </w:t>
      </w:r>
      <w:r>
        <w:rPr>
          <w:rFonts w:ascii="noto" w:eastAsia="noto" w:hAnsi="noto" w:cs="noto"/>
          <w:lang w:val="ru-RU" w:eastAsia="ru-RU" w:bidi="ar-SA"/>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11.3. </w:t>
      </w:r>
      <w:r>
        <w:rPr>
          <w:rFonts w:ascii="noto" w:eastAsia="noto" w:hAnsi="noto" w:cs="noto"/>
          <w:lang w:val="ru-RU" w:eastAsia="ru-RU" w:bidi="ar-SA"/>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11.4. </w:t>
      </w:r>
      <w:r>
        <w:rPr>
          <w:rFonts w:ascii="noto" w:eastAsia="noto" w:hAnsi="noto" w:cs="noto"/>
          <w:lang w:val="ru-RU" w:eastAsia="ru-RU" w:bidi="ar-SA"/>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11.5. </w:t>
      </w:r>
      <w:r>
        <w:rPr>
          <w:rFonts w:ascii="noto" w:eastAsia="noto" w:hAnsi="noto" w:cs="noto"/>
          <w:lang w:val="ru-RU" w:eastAsia="ru-RU" w:bidi="ar-SA"/>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12. </w:t>
      </w:r>
      <w:r>
        <w:rPr>
          <w:rFonts w:ascii="noto" w:eastAsia="noto" w:hAnsi="noto" w:cs="noto"/>
          <w:b/>
          <w:bCs/>
          <w:lang w:val="ru-RU" w:eastAsia="ru-RU" w:bidi="ar-SA"/>
        </w:rPr>
        <w:t>‌РАСТОРЖЕНИЕ И ИЗМЕНЕНИЕ ДОГОВОРА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12.1. </w:t>
      </w:r>
      <w:r>
        <w:rPr>
          <w:rFonts w:ascii="noto" w:eastAsia="noto" w:hAnsi="noto" w:cs="noto"/>
          <w:lang w:val="ru-RU" w:eastAsia="ru-RU" w:bidi="ar-SA"/>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12.2. </w:t>
      </w:r>
      <w:r>
        <w:rPr>
          <w:rFonts w:ascii="noto" w:eastAsia="noto" w:hAnsi="noto" w:cs="noto"/>
          <w:lang w:val="ru-RU" w:eastAsia="ru-RU" w:bidi="ar-SA"/>
        </w:rPr>
        <w:t>‌Односторонний отказ Сторон от исполнения настоящего Договора не допускается, за исключением случаев, прямо предусмотренных ФЗ № 214-ФЗ. При наступлении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13. </w:t>
      </w:r>
      <w:r>
        <w:rPr>
          <w:rFonts w:ascii="noto" w:eastAsia="noto" w:hAnsi="noto" w:cs="noto"/>
          <w:b/>
          <w:bCs/>
          <w:lang w:val="ru-RU" w:eastAsia="ru-RU" w:bidi="ar-SA"/>
        </w:rPr>
        <w:t>‌СООБЩЕНИЯ И УВЕДОМЛЕНИЯ</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13.1. </w:t>
      </w:r>
      <w:r>
        <w:rPr>
          <w:rFonts w:ascii="noto" w:eastAsia="noto" w:hAnsi="noto" w:cs="noto"/>
          <w:lang w:val="ru-RU" w:eastAsia="ru-RU" w:bidi="ar-SA"/>
        </w:rPr>
        <w:t>‌Сообщения и уведомления, осуществляемые в порядке, предусмотренном ФЗ № 214-ФЗ:</w:t>
      </w:r>
    </w:p>
    <w:p>
      <w:pPr>
        <w:spacing w:line="264" w:lineRule="atLeast"/>
        <w:ind w:firstLine="0"/>
        <w:jc w:val="both"/>
        <w:rPr>
          <w:rFonts w:ascii="noto" w:eastAsia="noto" w:hAnsi="noto" w:cs="noto"/>
          <w:lang w:val="ru-RU" w:eastAsia="ru-RU" w:bidi="ar-SA"/>
        </w:rPr>
      </w:pPr>
      <w:r>
        <w:rPr>
          <w:rFonts w:ascii="noto" w:eastAsia="noto" w:hAnsi="noto" w:cs="noto"/>
          <w:lang w:val="ru-RU" w:eastAsia="ru-RU" w:bidi="ar-SA"/>
        </w:rPr>
        <w:t>13.1.1. </w:t>
      </w:r>
      <w:r>
        <w:rPr>
          <w:rFonts w:ascii="noto" w:eastAsia="noto" w:hAnsi="noto" w:cs="noto"/>
          <w:lang w:val="ru-RU" w:eastAsia="ru-RU" w:bidi="ar-SA"/>
        </w:rPr>
        <w:t>‌В случае одностороннего отказа одной из Сторон от исполнения Договора, уведомление направляется по почте заказным письмом с описью вложения.</w:t>
      </w:r>
    </w:p>
    <w:p>
      <w:pPr>
        <w:spacing w:line="264" w:lineRule="atLeast"/>
        <w:ind w:firstLine="0"/>
        <w:jc w:val="both"/>
        <w:rPr>
          <w:rFonts w:ascii="noto" w:eastAsia="noto" w:hAnsi="noto" w:cs="noto"/>
          <w:lang w:val="ru-RU" w:eastAsia="ru-RU" w:bidi="ar-SA"/>
        </w:rPr>
      </w:pPr>
      <w:r>
        <w:rPr>
          <w:rFonts w:ascii="noto" w:eastAsia="noto" w:hAnsi="noto" w:cs="noto"/>
          <w:lang w:val="ru-RU" w:eastAsia="ru-RU" w:bidi="ar-SA"/>
        </w:rPr>
        <w:t>13.1.2. </w:t>
      </w:r>
      <w:r>
        <w:rPr>
          <w:rFonts w:ascii="noto" w:eastAsia="noto" w:hAnsi="noto" w:cs="noto"/>
          <w:lang w:val="ru-RU" w:eastAsia="ru-RU" w:bidi="ar-SA"/>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в порядке и в сроки, предусмотренные законодательством РФ.</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13.2. </w:t>
      </w:r>
      <w:r>
        <w:rPr>
          <w:rFonts w:ascii="noto" w:eastAsia="noto" w:hAnsi="noto" w:cs="noto"/>
          <w:lang w:val="ru-RU" w:eastAsia="ru-RU" w:bidi="ar-SA"/>
        </w:rPr>
        <w:t>‌Стороны обязаны, если иное не установлено настоящим Договором, письменно информировать друг друга об изменении своего местонахождения,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13.3. </w:t>
      </w:r>
      <w:r>
        <w:rPr>
          <w:rFonts w:ascii="noto" w:eastAsia="noto" w:hAnsi="noto" w:cs="noto"/>
          <w:lang w:val="ru-RU" w:eastAsia="ru-RU" w:bidi="ar-SA"/>
        </w:rPr>
        <w:t>‌УЧАСТНИК ДОЛЕВОГО СТРОИТЕЛЬСТВА направляет уведомления ЗАСТРОЙЩИКУ по адресу для направления корреспонденции.</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13.4. </w:t>
      </w:r>
      <w:r>
        <w:rPr>
          <w:rFonts w:ascii="noto" w:eastAsia="noto" w:hAnsi="noto" w:cs="noto"/>
          <w:lang w:val="ru-RU" w:eastAsia="ru-RU" w:bidi="ar-SA"/>
        </w:rPr>
        <w:t>‌Уведомление УЧАСТНИКА ДОЛЕВОГО СТРОИТЕЛЬСТВА со стороны ЗАСТРОЙЩИКА, за исключением уведомлений, для которых законом предусмотрен конкретный порядок их направления,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13.5. </w:t>
      </w:r>
      <w:r>
        <w:rPr>
          <w:rFonts w:ascii="noto" w:eastAsia="noto" w:hAnsi="noto" w:cs="noto"/>
          <w:lang w:val="ru-RU" w:eastAsia="ru-RU" w:bidi="ar-SA"/>
        </w:rPr>
        <w:t>‌В связи с исполнением Договора ЗАСТРОЙЩИК создает УЧАСТНИКУ ДОЛЕВОГО СТРОИТЕЛЬСТВА личный кабинет на сайте www.pik.ru в сети Интернет (далее – Личный кабинет), через который ЗАСТРОЙЩИК предоставляет следующую информацию и сервисы, в том числе, по запросу УЧАСТНИКА ДОЛЕВОГО СТРОИТЕЛЬСТВА:</w:t>
      </w:r>
    </w:p>
    <w:p>
      <w:pPr>
        <w:numPr>
          <w:ilvl w:val="0"/>
          <w:numId w:val="2"/>
        </w:numPr>
        <w:tabs>
          <w:tab w:val="left" w:pos="865"/>
        </w:tabs>
        <w:spacing w:before="0" w:line="264" w:lineRule="atLeast"/>
        <w:ind w:left="720" w:firstLine="0"/>
        <w:jc w:val="both"/>
        <w:rPr>
          <w:rFonts w:ascii="noto" w:eastAsia="noto" w:hAnsi="noto" w:cs="noto"/>
          <w:lang w:val="ru-RU" w:eastAsia="ru-RU" w:bidi="ar-SA"/>
        </w:rPr>
      </w:pPr>
      <w:r>
        <w:rPr>
          <w:rFonts w:ascii="noto" w:eastAsia="noto" w:hAnsi="noto" w:cs="noto"/>
          <w:lang w:val="ru-RU" w:eastAsia="ru-RU" w:bidi="ar-SA"/>
        </w:rPr>
        <w:t xml:space="preserve">‌Сведения о кредитных обязательствах, связанных с ЗАСТРОЙЩИКОМ. </w:t>
      </w:r>
    </w:p>
    <w:p>
      <w:pPr>
        <w:numPr>
          <w:ilvl w:val="0"/>
          <w:numId w:val="2"/>
        </w:numPr>
        <w:tabs>
          <w:tab w:val="left" w:pos="865"/>
        </w:tabs>
        <w:spacing w:line="264" w:lineRule="atLeast"/>
        <w:ind w:left="720" w:firstLine="0"/>
        <w:jc w:val="both"/>
        <w:rPr>
          <w:rFonts w:ascii="noto" w:eastAsia="noto" w:hAnsi="noto" w:cs="noto"/>
          <w:lang w:val="ru-RU" w:eastAsia="ru-RU" w:bidi="ar-SA"/>
        </w:rPr>
      </w:pPr>
      <w:r>
        <w:rPr>
          <w:rFonts w:ascii="noto" w:eastAsia="noto" w:hAnsi="noto" w:cs="noto"/>
          <w:lang w:val="ru-RU" w:eastAsia="ru-RU" w:bidi="ar-SA"/>
        </w:rPr>
        <w:t xml:space="preserve">‌Оформление и сопровождение электронной подписи, обмен информацией и документами в электронном виде с целью удаленного заключения, исполнения и сопровождения Договора. </w:t>
      </w:r>
    </w:p>
    <w:p>
      <w:pPr>
        <w:numPr>
          <w:ilvl w:val="0"/>
          <w:numId w:val="2"/>
        </w:numPr>
        <w:tabs>
          <w:tab w:val="left" w:pos="865"/>
        </w:tabs>
        <w:spacing w:line="264" w:lineRule="atLeast"/>
        <w:ind w:left="720" w:firstLine="0"/>
        <w:jc w:val="both"/>
        <w:rPr>
          <w:rFonts w:ascii="noto" w:eastAsia="noto" w:hAnsi="noto" w:cs="noto"/>
          <w:lang w:val="ru-RU" w:eastAsia="ru-RU" w:bidi="ar-SA"/>
        </w:rPr>
      </w:pPr>
      <w:r>
        <w:rPr>
          <w:rFonts w:ascii="noto" w:eastAsia="noto" w:hAnsi="noto" w:cs="noto"/>
          <w:lang w:val="ru-RU" w:eastAsia="ru-RU" w:bidi="ar-SA"/>
        </w:rPr>
        <w:t xml:space="preserve">‌Сведения о приобретенном объекте долевого строительства. </w:t>
      </w:r>
    </w:p>
    <w:p>
      <w:pPr>
        <w:numPr>
          <w:ilvl w:val="0"/>
          <w:numId w:val="2"/>
        </w:numPr>
        <w:tabs>
          <w:tab w:val="left" w:pos="865"/>
        </w:tabs>
        <w:spacing w:line="264" w:lineRule="atLeast"/>
        <w:ind w:left="720" w:firstLine="0"/>
        <w:jc w:val="both"/>
        <w:rPr>
          <w:rFonts w:ascii="noto" w:eastAsia="noto" w:hAnsi="noto" w:cs="noto"/>
          <w:lang w:val="ru-RU" w:eastAsia="ru-RU" w:bidi="ar-SA"/>
        </w:rPr>
      </w:pPr>
      <w:r>
        <w:rPr>
          <w:rFonts w:ascii="noto" w:eastAsia="noto" w:hAnsi="noto" w:cs="noto"/>
          <w:lang w:val="ru-RU" w:eastAsia="ru-RU" w:bidi="ar-SA"/>
        </w:rPr>
        <w:t xml:space="preserve">‌Направление запросов на оказание дополнительных услуг, связанных с Договором. </w:t>
      </w:r>
    </w:p>
    <w:p>
      <w:pPr>
        <w:numPr>
          <w:ilvl w:val="0"/>
          <w:numId w:val="2"/>
        </w:numPr>
        <w:tabs>
          <w:tab w:val="left" w:pos="865"/>
        </w:tabs>
        <w:spacing w:line="264" w:lineRule="atLeast"/>
        <w:ind w:left="720" w:firstLine="0"/>
        <w:jc w:val="both"/>
        <w:rPr>
          <w:rFonts w:ascii="noto" w:eastAsia="noto" w:hAnsi="noto" w:cs="noto"/>
          <w:lang w:val="ru-RU" w:eastAsia="ru-RU" w:bidi="ar-SA"/>
        </w:rPr>
      </w:pPr>
      <w:r>
        <w:rPr>
          <w:rFonts w:ascii="noto" w:eastAsia="noto" w:hAnsi="noto" w:cs="noto"/>
          <w:lang w:val="ru-RU" w:eastAsia="ru-RU" w:bidi="ar-SA"/>
        </w:rPr>
        <w:t>‌Предоставление документов в связи с исполнением Договора и связанных с ним услугах (при наличии).</w:t>
      </w:r>
    </w:p>
    <w:p>
      <w:pPr>
        <w:numPr>
          <w:ilvl w:val="0"/>
          <w:numId w:val="2"/>
        </w:numPr>
        <w:tabs>
          <w:tab w:val="left" w:pos="865"/>
        </w:tabs>
        <w:spacing w:after="0" w:line="264" w:lineRule="atLeast"/>
        <w:ind w:left="720" w:firstLine="0"/>
        <w:jc w:val="both"/>
        <w:rPr>
          <w:rFonts w:ascii="noto" w:eastAsia="noto" w:hAnsi="noto" w:cs="noto"/>
          <w:lang w:val="ru-RU" w:eastAsia="ru-RU" w:bidi="ar-SA"/>
        </w:rPr>
      </w:pPr>
      <w:r>
        <w:rPr>
          <w:rFonts w:ascii="noto" w:eastAsia="noto" w:hAnsi="noto" w:cs="noto"/>
          <w:lang w:val="ru-RU" w:eastAsia="ru-RU" w:bidi="ar-SA"/>
        </w:rPr>
        <w:t xml:space="preserve">‌Предоставление информации об изменении или уточнении персональных данных, в том числе контактной информации. </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13.6. </w:t>
      </w:r>
      <w:r>
        <w:rPr>
          <w:rFonts w:ascii="noto" w:eastAsia="noto" w:hAnsi="noto" w:cs="noto"/>
          <w:lang w:val="ru-RU" w:eastAsia="ru-RU" w:bidi="ar-SA"/>
        </w:rPr>
        <w:t>‌Объем услуг, доступных через Личный кабинет определяется ЗАСТРОЙЩИКОМ самостоятельно. Услуги через личный кабинет оказываются в части, не противоречащей действующему законодательству.</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13.7. </w:t>
      </w:r>
      <w:r>
        <w:rPr>
          <w:rFonts w:ascii="noto" w:eastAsia="noto" w:hAnsi="noto" w:cs="noto"/>
          <w:lang w:val="ru-RU" w:eastAsia="ru-RU" w:bidi="ar-SA"/>
        </w:rPr>
        <w:t>‌Для получения доступа к услугам и сервисам УЧАСТНИК ДОЛЕВОГО СТРОИТЕЛЬСТВА может установить на мобильное устройство приложение ПИК.</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14. </w:t>
      </w:r>
      <w:r>
        <w:rPr>
          <w:rFonts w:ascii="noto" w:eastAsia="noto" w:hAnsi="noto" w:cs="noto"/>
          <w:b/>
          <w:bCs/>
          <w:lang w:val="ru-RU" w:eastAsia="ru-RU" w:bidi="ar-SA"/>
        </w:rPr>
        <w:t>‌ЗАКЛЮЧИТЕЛЬНЫЕ ПОЛОЖЕНИЯ</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14.1. </w:t>
      </w:r>
      <w:r>
        <w:rPr>
          <w:rFonts w:ascii="noto" w:eastAsia="noto" w:hAnsi="noto" w:cs="noto"/>
          <w:lang w:val="ru-RU" w:eastAsia="ru-RU" w:bidi="ar-SA"/>
        </w:rPr>
        <w:t>‌Обязательства ЗАСТРОЙЩИКА считаются исполненными с момента подписания Сторонами Передаточного акта.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14.2. </w:t>
      </w:r>
      <w:r>
        <w:rPr>
          <w:rFonts w:ascii="noto" w:eastAsia="noto" w:hAnsi="noto" w:cs="noto"/>
          <w:lang w:val="ru-RU" w:eastAsia="ru-RU" w:bidi="ar-SA"/>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14.3. </w:t>
      </w:r>
      <w:r>
        <w:rPr>
          <w:rFonts w:ascii="noto" w:eastAsia="noto" w:hAnsi="noto" w:cs="noto"/>
          <w:lang w:val="ru-RU" w:eastAsia="ru-RU" w:bidi="ar-SA"/>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14.4. </w:t>
      </w:r>
      <w:r>
        <w:rPr>
          <w:rFonts w:ascii="noto" w:eastAsia="noto" w:hAnsi="noto" w:cs="noto"/>
          <w:lang w:val="ru-RU" w:eastAsia="ru-RU" w:bidi="ar-SA"/>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14.5. </w:t>
      </w:r>
      <w:r>
        <w:rPr>
          <w:rFonts w:ascii="noto" w:eastAsia="noto" w:hAnsi="noto" w:cs="noto"/>
          <w:lang w:val="ru-RU" w:eastAsia="ru-RU" w:bidi="ar-SA"/>
        </w:rPr>
        <w:t xml:space="preserve">‌Особенности обработки персональных данных.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 xml:space="preserve">‌ЗАСТРОЙЩИК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 xml:space="preserve">‌В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 xml:space="preserve">‌В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14.6. </w:t>
      </w:r>
      <w:r>
        <w:rPr>
          <w:rFonts w:ascii="noto" w:eastAsia="noto" w:hAnsi="noto" w:cs="noto"/>
          <w:lang w:val="ru-RU" w:eastAsia="ru-RU" w:bidi="ar-SA"/>
        </w:rPr>
        <w:t>‌Инструкция по эксплуатации Объекта долевого строительства будет размещена ЗАСТРОЙЩИКОМ в личном кабинете УЧАСТНИКА ДОЛЕВОГО СТРОИТЕЛЬСТВА на сайте pik.ru.</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14.7. </w:t>
      </w:r>
      <w:r>
        <w:rPr>
          <w:rFonts w:ascii="noto" w:eastAsia="noto" w:hAnsi="noto" w:cs="noto"/>
          <w:lang w:val="ru-RU" w:eastAsia="ru-RU" w:bidi="ar-SA"/>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14.8. </w:t>
      </w:r>
      <w:r>
        <w:rPr>
          <w:rFonts w:ascii="noto" w:eastAsia="noto" w:hAnsi="noto" w:cs="noto"/>
          <w:lang w:val="ru-RU" w:eastAsia="ru-RU" w:bidi="ar-SA"/>
        </w:rPr>
        <w:t>‌Приложения к настоящему Договору являющиеся его неотъемлемой частью:</w:t>
      </w:r>
    </w:p>
    <w:p>
      <w:pPr>
        <w:numPr>
          <w:ilvl w:val="0"/>
          <w:numId w:val="3"/>
        </w:numPr>
        <w:tabs>
          <w:tab w:val="left" w:pos="865"/>
        </w:tabs>
        <w:spacing w:before="0" w:after="0" w:line="264" w:lineRule="atLeast"/>
        <w:ind w:left="720" w:firstLine="0"/>
        <w:jc w:val="both"/>
        <w:rPr>
          <w:rFonts w:ascii="noto" w:eastAsia="noto" w:hAnsi="noto" w:cs="noto"/>
          <w:lang w:val="ru-RU" w:eastAsia="ru-RU" w:bidi="ar-SA"/>
        </w:rPr>
      </w:pPr>
      <w:r>
        <w:rPr>
          <w:rFonts w:ascii="noto" w:eastAsia="noto" w:hAnsi="noto" w:cs="noto"/>
          <w:lang w:val="ru-RU" w:eastAsia="ru-RU" w:bidi="ar-SA"/>
        </w:rPr>
        <w:t>‌Приложение № 1 – План.</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15. </w:t>
      </w:r>
      <w:r>
        <w:rPr>
          <w:rFonts w:ascii="noto" w:eastAsia="noto" w:hAnsi="noto" w:cs="noto"/>
          <w:b/>
          <w:bCs/>
          <w:lang w:val="ru-RU" w:eastAsia="ru-RU" w:bidi="ar-SA"/>
        </w:rPr>
        <w:t>‌МЕСТОНАХОЖДЕНИЕ И РЕКВИЗИТЫ СТОРОН</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15.1. </w:t>
      </w:r>
      <w:r>
        <w:rPr>
          <w:rFonts w:ascii="noto" w:eastAsia="noto" w:hAnsi="noto" w:cs="noto"/>
          <w:lang w:val="ru-RU" w:eastAsia="ru-RU" w:bidi="ar-SA"/>
        </w:rPr>
        <w:t>‌</w:t>
      </w:r>
      <w:r>
        <w:rPr>
          <w:rFonts w:ascii="noto" w:eastAsia="noto" w:hAnsi="noto" w:cs="noto"/>
          <w:b/>
          <w:bCs/>
          <w:lang w:val="ru-RU" w:eastAsia="ru-RU" w:bidi="ar-SA"/>
        </w:rPr>
        <w:t xml:space="preserve">ЗАСТРОЙЩИК: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 xml:space="preserve">‌ХХХХХ, Адрес: ХХХХХ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 xml:space="preserve">‌ИНН ХХХХХ, КПП ХХХХХ, ОГРН ХХХХХ р/счёт ХХХХХ в Банк ХХХХХ, к/счёт ХХХХХ,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 xml:space="preserve">‌БИК ХХХХХ.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‌Адрес для направления корреспонденции: ХХХХХ</w:t>
      </w:r>
    </w:p>
    <w:p>
      <w:pPr>
        <w:spacing w:line="264" w:lineRule="atLeast"/>
        <w:ind w:firstLine="0"/>
        <w:jc w:val="both"/>
        <w:rPr>
          <w:rFonts w:ascii="noto" w:eastAsia="noto" w:hAnsi="noto" w:cs="noto"/>
          <w:lang w:val="ru-RU" w:eastAsia="ru-RU" w:bidi="ar-SA"/>
        </w:rPr>
      </w:pPr>
      <w:r>
        <w:rPr>
          <w:rFonts w:ascii="noto" w:eastAsia="noto" w:hAnsi="noto" w:cs="noto"/>
          <w:b/>
          <w:bCs/>
          <w:lang w:val="ru-RU" w:eastAsia="ru-RU" w:bidi="ar-SA"/>
        </w:rPr>
        <w:t>15.2. </w:t>
      </w:r>
      <w:r>
        <w:rPr>
          <w:rFonts w:ascii="noto" w:eastAsia="noto" w:hAnsi="noto" w:cs="noto"/>
          <w:lang w:val="ru-RU" w:eastAsia="ru-RU" w:bidi="ar-SA"/>
        </w:rPr>
        <w:t>‌</w:t>
      </w:r>
      <w:r>
        <w:rPr>
          <w:rFonts w:ascii="noto" w:eastAsia="noto" w:hAnsi="noto" w:cs="noto"/>
          <w:b/>
          <w:bCs/>
          <w:lang w:val="ru-RU" w:eastAsia="ru-RU" w:bidi="ar-SA"/>
        </w:rPr>
        <w:t xml:space="preserve">УЧАСТНИК ДОЛЕВОГО СТРОИТЕЛЬСТВА: </w:t>
      </w:r>
    </w:p>
    <w:p>
      <w:pPr>
        <w:spacing w:line="264" w:lineRule="atLeast"/>
        <w:ind w:firstLine="567"/>
        <w:jc w:val="both"/>
        <w:rPr>
          <w:rFonts w:ascii="noto" w:eastAsia="noto" w:hAnsi="noto" w:cs="noto"/>
          <w:lang w:val="ru-RU" w:eastAsia="ru-RU" w:bidi="ar-SA"/>
        </w:rPr>
      </w:pPr>
      <w:r>
        <w:rPr>
          <w:rFonts w:ascii="noto" w:eastAsia="noto" w:hAnsi="noto" w:cs="noto"/>
          <w:b/>
          <w:bCs/>
          <w:lang w:val="ru-RU" w:eastAsia="ru-RU" w:bidi="ar-SA"/>
        </w:rPr>
        <w:t xml:space="preserve">‌ХХХХХ </w:t>
      </w:r>
    </w:p>
    <w:p>
      <w:pPr>
        <w:spacing w:line="264" w:lineRule="atLeast"/>
        <w:ind w:firstLine="567"/>
        <w:jc w:val="both"/>
        <w:rPr>
          <w:rFonts w:ascii="noto" w:eastAsia="noto" w:hAnsi="noto" w:cs="noto"/>
          <w:lang w:val="ru-RU" w:eastAsia="ru-RU" w:bidi="ar-SA"/>
        </w:rPr>
      </w:pPr>
      <w:r>
        <w:rPr>
          <w:rFonts w:ascii="noto" w:eastAsia="noto" w:hAnsi="noto" w:cs="noto"/>
          <w:lang w:val="ru-RU" w:eastAsia="ru-RU" w:bidi="ar-SA"/>
        </w:rPr>
        <w:t>‌</w:t>
      </w:r>
    </w:p>
    <w:p>
      <w:pPr>
        <w:spacing w:before="200" w:after="0" w:line="264" w:lineRule="atLeast"/>
        <w:ind w:left="0" w:right="0" w:firstLine="0"/>
        <w:jc w:val="center"/>
        <w:rPr>
          <w:rFonts w:ascii="noto" w:eastAsia="noto" w:hAnsi="noto" w:cs="noto"/>
          <w:b/>
          <w:bCs/>
          <w:lang w:val="ru-RU" w:eastAsia="ru-RU" w:bidi="ar-SA"/>
        </w:rPr>
      </w:pPr>
      <w:r>
        <w:rPr>
          <w:rFonts w:ascii="noto" w:eastAsia="noto" w:hAnsi="noto" w:cs="noto"/>
          <w:b/>
          <w:bCs/>
          <w:lang w:val="ru-RU" w:eastAsia="ru-RU" w:bidi="ar-SA"/>
        </w:rPr>
        <w:t>16. </w:t>
      </w:r>
      <w:r>
        <w:rPr>
          <w:rFonts w:ascii="noto" w:eastAsia="noto" w:hAnsi="noto" w:cs="noto"/>
          <w:b/>
          <w:bCs/>
          <w:lang w:val="ru-RU" w:eastAsia="ru-RU" w:bidi="ar-SA"/>
        </w:rPr>
        <w:t>‌ПОДПИСИ СТОРОН</w:t>
      </w:r>
    </w:p>
    <w:tbl>
      <w:tblPr>
        <w:tblStyle w:val="TableNormal"/>
        <w:tblW w:w="5000" w:type="pct"/>
        <w:tblCellSpacing w:w="15" w:type="dxa"/>
        <w:tblInd w:w="15" w:type="dxa"/>
        <w:tblCellMar>
          <w:top w:w="15" w:type="dxa"/>
          <w:left w:w="15" w:type="dxa"/>
          <w:bottom w:w="15" w:type="dxa"/>
          <w:right w:w="15" w:type="dxa"/>
        </w:tblCellMar>
      </w:tblPr>
      <w:tblGrid>
        <w:gridCol w:w="4673"/>
        <w:gridCol w:w="4673"/>
      </w:tblGrid>
      <w:tr>
        <w:tblPrEx>
          <w:tblW w:w="5000" w:type="pct"/>
          <w:tblCellSpacing w:w="15" w:type="dxa"/>
          <w:tblInd w:w="15" w:type="dxa"/>
          <w:tblCellMar>
            <w:top w:w="15" w:type="dxa"/>
            <w:left w:w="15" w:type="dxa"/>
            <w:bottom w:w="15" w:type="dxa"/>
            <w:right w:w="15" w:type="dxa"/>
          </w:tblCellMar>
        </w:tblPrEx>
        <w:trPr>
          <w:tblCellSpacing w:w="15" w:type="dxa"/>
        </w:trPr>
        <w:tc>
          <w:tcPr>
            <w:tcW w:w="4811" w:type="dxa"/>
            <w:noWrap w:val="0"/>
            <w:tcMar>
              <w:top w:w="15" w:type="dxa"/>
              <w:left w:w="15" w:type="dxa"/>
              <w:bottom w:w="15" w:type="dxa"/>
              <w:right w:w="15" w:type="dxa"/>
            </w:tcMar>
            <w:vAlign w:val="center"/>
            <w:hideMark/>
          </w:tcPr>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‌От лица ЗАСТРОЙЩИКА</w:t>
            </w:r>
          </w:p>
        </w:tc>
        <w:tc>
          <w:tcPr>
            <w:tcW w:w="4811" w:type="dxa"/>
            <w:noWrap w:val="0"/>
            <w:tcMar>
              <w:top w:w="15" w:type="dxa"/>
              <w:left w:w="15" w:type="dxa"/>
              <w:bottom w:w="15" w:type="dxa"/>
              <w:right w:w="15" w:type="dxa"/>
            </w:tcMar>
            <w:vAlign w:val="center"/>
            <w:hideMark/>
          </w:tcPr>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 xml:space="preserve">‌УЧАСТНИК </w:t>
            </w:r>
          </w:p>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 xml:space="preserve">‌ДОЛЕВОГО СТРОИТЕЛЬСТВА </w:t>
            </w:r>
          </w:p>
        </w:tc>
      </w:tr>
      <w:tr>
        <w:tblPrEx>
          <w:tblW w:w="5000" w:type="pct"/>
          <w:tblCellSpacing w:w="15" w:type="dxa"/>
          <w:tblInd w:w="15" w:type="dxa"/>
          <w:tblCellMar>
            <w:top w:w="15" w:type="dxa"/>
            <w:left w:w="15" w:type="dxa"/>
            <w:bottom w:w="15" w:type="dxa"/>
            <w:right w:w="15" w:type="dxa"/>
          </w:tblCellMar>
        </w:tblPrEx>
        <w:trPr>
          <w:tblCellSpacing w:w="15" w:type="dxa"/>
        </w:trPr>
        <w:tc>
          <w:tcPr>
            <w:tcW w:w="4811" w:type="dxa"/>
            <w:noWrap w:val="0"/>
            <w:tcMar>
              <w:top w:w="15" w:type="dxa"/>
              <w:left w:w="15" w:type="dxa"/>
              <w:bottom w:w="15" w:type="dxa"/>
              <w:right w:w="15" w:type="dxa"/>
            </w:tcMar>
            <w:vAlign w:val="center"/>
            <w:hideMark/>
          </w:tcPr>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 xml:space="preserve">‌_________________________ </w:t>
            </w:r>
          </w:p>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‌/ХХХХХ/</w:t>
            </w:r>
          </w:p>
        </w:tc>
        <w:tc>
          <w:tcPr>
            <w:tcW w:w="4811" w:type="dxa"/>
            <w:noWrap w:val="0"/>
            <w:tcMar>
              <w:top w:w="15" w:type="dxa"/>
              <w:left w:w="15" w:type="dxa"/>
              <w:bottom w:w="15" w:type="dxa"/>
              <w:right w:w="15" w:type="dxa"/>
            </w:tcMar>
            <w:vAlign w:val="center"/>
            <w:hideMark/>
          </w:tcPr>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 xml:space="preserve">‌_________________________ </w:t>
            </w:r>
          </w:p>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‌/ХХХХХ/</w:t>
            </w:r>
          </w:p>
        </w:tc>
      </w:tr>
    </w:tbl>
    <w:p>
      <w:pPr>
        <w:spacing w:line="264" w:lineRule="atLeast"/>
        <w:jc w:val="both"/>
        <w:rPr>
          <w:rFonts w:ascii="noto" w:eastAsia="noto" w:hAnsi="noto" w:cs="noto"/>
          <w:lang w:val="ru-RU" w:eastAsia="ru-RU" w:bidi="ar-SA"/>
        </w:rPr>
      </w:pPr>
    </w:p>
    <w:p>
      <w:pPr>
        <w:pageBreakBefore/>
        <w:spacing w:line="264" w:lineRule="atLeast"/>
        <w:jc w:val="both"/>
        <w:rPr>
          <w:rFonts w:ascii="noto" w:eastAsia="noto" w:hAnsi="noto" w:cs="noto"/>
          <w:lang w:val="ru-RU" w:eastAsia="ru-RU" w:bidi="ar-SA"/>
        </w:rPr>
      </w:pPr>
    </w:p>
    <w:tbl>
      <w:tblPr>
        <w:tblStyle w:val="TableNormal"/>
        <w:tblW w:w="5000" w:type="pct"/>
        <w:tblCellSpacing w:w="15" w:type="dxa"/>
        <w:tblInd w:w="15" w:type="dxa"/>
        <w:tblCellMar>
          <w:top w:w="15" w:type="dxa"/>
          <w:left w:w="15" w:type="dxa"/>
          <w:bottom w:w="15" w:type="dxa"/>
          <w:right w:w="15" w:type="dxa"/>
        </w:tblCellMar>
      </w:tblPr>
      <w:tblGrid>
        <w:gridCol w:w="4660"/>
        <w:gridCol w:w="4686"/>
      </w:tblGrid>
      <w:tr>
        <w:tblPrEx>
          <w:tblW w:w="5000" w:type="pct"/>
          <w:tblCellSpacing w:w="15" w:type="dxa"/>
          <w:tblInd w:w="15" w:type="dxa"/>
          <w:tblCellMar>
            <w:top w:w="15" w:type="dxa"/>
            <w:left w:w="15" w:type="dxa"/>
            <w:bottom w:w="15" w:type="dxa"/>
            <w:right w:w="15" w:type="dxa"/>
          </w:tblCellMar>
        </w:tblPrEx>
        <w:trPr>
          <w:tblCellSpacing w:w="15" w:type="dxa"/>
        </w:trPr>
        <w:tc>
          <w:tcPr>
            <w:tcW w:w="4811" w:type="dxa"/>
            <w:noWrap w:val="0"/>
            <w:tcMar>
              <w:top w:w="15" w:type="dxa"/>
              <w:left w:w="15" w:type="dxa"/>
              <w:bottom w:w="15" w:type="dxa"/>
              <w:right w:w="15" w:type="dxa"/>
            </w:tcMar>
            <w:vAlign w:val="center"/>
            <w:hideMark/>
          </w:tcPr>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‌ХХХХХ</w:t>
            </w:r>
          </w:p>
        </w:tc>
        <w:tc>
          <w:tcPr>
            <w:tcW w:w="4811" w:type="dxa"/>
            <w:noWrap w:val="0"/>
            <w:tcMar>
              <w:top w:w="15" w:type="dxa"/>
              <w:left w:w="15" w:type="dxa"/>
              <w:bottom w:w="15" w:type="dxa"/>
              <w:right w:w="15" w:type="dxa"/>
            </w:tcMar>
            <w:vAlign w:val="center"/>
            <w:hideMark/>
          </w:tcPr>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‌Приложение № 1</w:t>
            </w:r>
          </w:p>
        </w:tc>
      </w:tr>
      <w:tr>
        <w:tblPrEx>
          <w:tblW w:w="5000" w:type="pct"/>
          <w:tblCellSpacing w:w="15" w:type="dxa"/>
          <w:tblInd w:w="15" w:type="dxa"/>
          <w:tblCellMar>
            <w:top w:w="15" w:type="dxa"/>
            <w:left w:w="15" w:type="dxa"/>
            <w:bottom w:w="15" w:type="dxa"/>
            <w:right w:w="15" w:type="dxa"/>
          </w:tblCellMar>
        </w:tblPrEx>
        <w:trPr>
          <w:tblCellSpacing w:w="15" w:type="dxa"/>
        </w:trPr>
        <w:tc>
          <w:tcPr>
            <w:tcW w:w="4811" w:type="dxa"/>
            <w:noWrap w:val="0"/>
            <w:tcMar>
              <w:top w:w="15" w:type="dxa"/>
              <w:left w:w="15" w:type="dxa"/>
              <w:bottom w:w="15" w:type="dxa"/>
              <w:right w:w="15" w:type="dxa"/>
            </w:tcMar>
            <w:vAlign w:val="center"/>
            <w:hideMark/>
          </w:tcPr>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‌Секция Х, этаж ХХ</w:t>
            </w:r>
          </w:p>
        </w:tc>
        <w:tc>
          <w:tcPr>
            <w:tcW w:w="4811" w:type="dxa"/>
            <w:noWrap w:val="0"/>
            <w:tcMar>
              <w:top w:w="15" w:type="dxa"/>
              <w:left w:w="15" w:type="dxa"/>
              <w:bottom w:w="15" w:type="dxa"/>
              <w:right w:w="15" w:type="dxa"/>
            </w:tcMar>
            <w:vAlign w:val="center"/>
            <w:hideMark/>
          </w:tcPr>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‌к Договору участия в долевом  строительстве</w:t>
            </w:r>
          </w:p>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 xml:space="preserve">‌№ ХХХХХ </w:t>
            </w:r>
          </w:p>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 xml:space="preserve">‌от «ХХ» ХХХХХ 20ХХ г. </w:t>
            </w:r>
          </w:p>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w:t>
            </w:r>
          </w:p>
        </w:tc>
      </w:tr>
    </w:tbl>
    <w:p>
      <w:pPr>
        <w:spacing w:line="264" w:lineRule="atLeast"/>
        <w:jc w:val="both"/>
        <w:rPr>
          <w:rFonts w:ascii="noto" w:eastAsia="noto" w:hAnsi="noto" w:cs="noto"/>
          <w:lang w:val="ru-RU" w:eastAsia="ru-RU" w:bidi="ar-SA"/>
        </w:rPr>
      </w:pPr>
    </w:p>
    <w:p>
      <w:pPr>
        <w:spacing w:before="200" w:after="0" w:line="264" w:lineRule="atLeast"/>
        <w:ind w:left="0" w:right="0"/>
        <w:jc w:val="center"/>
        <w:rPr>
          <w:rFonts w:ascii="noto" w:eastAsia="noto" w:hAnsi="noto" w:cs="noto"/>
          <w:b/>
          <w:bCs/>
          <w:lang w:val="ru-RU" w:eastAsia="ru-RU" w:bidi="ar-SA"/>
        </w:rPr>
      </w:pPr>
      <w:r>
        <w:rPr>
          <w:rFonts w:ascii="noto" w:eastAsia="noto" w:hAnsi="noto" w:cs="noto"/>
          <w:b/>
          <w:bCs/>
          <w:lang w:val="ru-RU" w:eastAsia="ru-RU" w:bidi="ar-SA"/>
        </w:rPr>
        <w:t>‌План</w:t>
      </w:r>
    </w:p>
    <w:p>
      <w:pPr>
        <w:spacing w:line="264" w:lineRule="atLeast"/>
        <w:jc w:val="both"/>
        <w:rPr>
          <w:rFonts w:ascii="noto" w:eastAsia="noto" w:hAnsi="noto" w:cs="noto"/>
          <w:lang w:val="ru-RU" w:eastAsia="ru-RU" w:bidi="ar-SA"/>
        </w:rPr>
      </w:pPr>
      <w:r>
        <w:rPr>
          <w:rFonts w:ascii="noto" w:eastAsia="noto" w:hAnsi="noto" w:cs="noto"/>
          <w:lang w:val="ru-RU" w:eastAsia="ru-RU" w:bidi="ar-SA"/>
        </w:rPr>
        <w:t>‌</w:t>
      </w:r>
    </w:p>
    <w:tbl>
      <w:tblPr>
        <w:tblStyle w:val="TableNormal"/>
        <w:tblW w:w="5000" w:type="pct"/>
        <w:tblCellSpacing w:w="15" w:type="dxa"/>
        <w:tblInd w:w="15" w:type="dxa"/>
        <w:tblCellMar>
          <w:top w:w="15" w:type="dxa"/>
          <w:left w:w="15" w:type="dxa"/>
          <w:bottom w:w="15" w:type="dxa"/>
          <w:right w:w="15" w:type="dxa"/>
        </w:tblCellMar>
      </w:tblPr>
      <w:tblGrid>
        <w:gridCol w:w="4673"/>
        <w:gridCol w:w="4673"/>
      </w:tblGrid>
      <w:tr>
        <w:tblPrEx>
          <w:tblW w:w="5000" w:type="pct"/>
          <w:tblCellSpacing w:w="15" w:type="dxa"/>
          <w:tblInd w:w="15" w:type="dxa"/>
          <w:tblCellMar>
            <w:top w:w="15" w:type="dxa"/>
            <w:left w:w="15" w:type="dxa"/>
            <w:bottom w:w="15" w:type="dxa"/>
            <w:right w:w="15" w:type="dxa"/>
          </w:tblCellMar>
        </w:tblPrEx>
        <w:trPr>
          <w:tblCellSpacing w:w="15" w:type="dxa"/>
        </w:trPr>
        <w:tc>
          <w:tcPr>
            <w:tcW w:w="4811" w:type="dxa"/>
            <w:noWrap w:val="0"/>
            <w:tcMar>
              <w:top w:w="15" w:type="dxa"/>
              <w:left w:w="15" w:type="dxa"/>
              <w:bottom w:w="15" w:type="dxa"/>
              <w:right w:w="15" w:type="dxa"/>
            </w:tcMar>
            <w:vAlign w:val="center"/>
            <w:hideMark/>
          </w:tcPr>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‌От лица ЗАСТРОЙЩИКА</w:t>
            </w:r>
          </w:p>
        </w:tc>
        <w:tc>
          <w:tcPr>
            <w:tcW w:w="4811" w:type="dxa"/>
            <w:noWrap w:val="0"/>
            <w:tcMar>
              <w:top w:w="15" w:type="dxa"/>
              <w:left w:w="15" w:type="dxa"/>
              <w:bottom w:w="15" w:type="dxa"/>
              <w:right w:w="15" w:type="dxa"/>
            </w:tcMar>
            <w:vAlign w:val="center"/>
            <w:hideMark/>
          </w:tcPr>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 xml:space="preserve">‌УЧАСТНИК </w:t>
            </w:r>
          </w:p>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 xml:space="preserve">‌ДОЛЕВОГО СТРОИТЕЛЬСТВА </w:t>
            </w:r>
          </w:p>
        </w:tc>
      </w:tr>
      <w:tr>
        <w:tblPrEx>
          <w:tblW w:w="5000" w:type="pct"/>
          <w:tblCellSpacing w:w="15" w:type="dxa"/>
          <w:tblInd w:w="15" w:type="dxa"/>
          <w:tblCellMar>
            <w:top w:w="15" w:type="dxa"/>
            <w:left w:w="15" w:type="dxa"/>
            <w:bottom w:w="15" w:type="dxa"/>
            <w:right w:w="15" w:type="dxa"/>
          </w:tblCellMar>
        </w:tblPrEx>
        <w:trPr>
          <w:tblCellSpacing w:w="15" w:type="dxa"/>
        </w:trPr>
        <w:tc>
          <w:tcPr>
            <w:tcW w:w="4811" w:type="dxa"/>
            <w:noWrap w:val="0"/>
            <w:tcMar>
              <w:top w:w="15" w:type="dxa"/>
              <w:left w:w="15" w:type="dxa"/>
              <w:bottom w:w="15" w:type="dxa"/>
              <w:right w:w="15" w:type="dxa"/>
            </w:tcMar>
            <w:vAlign w:val="center"/>
            <w:hideMark/>
          </w:tcPr>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 xml:space="preserve">‌_________________________ </w:t>
            </w:r>
          </w:p>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‌/ХХХХХ/</w:t>
            </w:r>
          </w:p>
        </w:tc>
        <w:tc>
          <w:tcPr>
            <w:tcW w:w="4811" w:type="dxa"/>
            <w:noWrap w:val="0"/>
            <w:tcMar>
              <w:top w:w="15" w:type="dxa"/>
              <w:left w:w="15" w:type="dxa"/>
              <w:bottom w:w="15" w:type="dxa"/>
              <w:right w:w="15" w:type="dxa"/>
            </w:tcMar>
            <w:vAlign w:val="center"/>
            <w:hideMark/>
          </w:tcPr>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 xml:space="preserve">‌_________________________ </w:t>
            </w:r>
          </w:p>
          <w:p>
            <w:pPr>
              <w:spacing w:line="264" w:lineRule="atLeast"/>
              <w:jc w:val="both"/>
              <w:rPr>
                <w:rFonts w:ascii="noto" w:eastAsia="noto" w:hAnsi="noto" w:cs="noto"/>
                <w:color w:val="000000"/>
                <w:lang w:val="ru-RU" w:eastAsia="ru-RU" w:bidi="ar-SA"/>
              </w:rPr>
            </w:pPr>
            <w:r>
              <w:rPr>
                <w:rFonts w:ascii="noto" w:eastAsia="noto" w:hAnsi="noto" w:cs="noto"/>
                <w:color w:val="000000"/>
                <w:lang w:val="ru-RU" w:eastAsia="ru-RU" w:bidi="ar-SA"/>
              </w:rPr>
              <w:t>‌/ХХХХХ/</w:t>
            </w:r>
          </w:p>
        </w:tc>
      </w:tr>
    </w:tbl>
    <w:p>
      <w:pPr>
        <w:spacing w:line="264" w:lineRule="atLeast"/>
        <w:jc w:val="both"/>
        <w:rPr>
          <w:rFonts w:ascii="noto" w:eastAsia="noto" w:hAnsi="noto" w:cs="noto"/>
          <w:lang w:val="ru-RU" w:eastAsia="ru-RU" w:bidi="ar-SA"/>
        </w:rPr>
      </w:pPr>
    </w:p>
    <w:sectPr>
      <w:pgMar w:header="708" w:footer="708"/>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noto" w:eastAsia="noto" w:hAnsi="noto" w:cs="noto"/>
        <w:sz w:val="18"/>
        <w:szCs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noto" w:eastAsia="noto" w:hAnsi="noto" w:cs="noto"/>
        <w:sz w:val="18"/>
        <w:szCs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noto" w:eastAsia="noto" w:hAnsi="noto" w:cs="noto"/>
        <w:sz w:val="18"/>
        <w:szCs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inline-text">
    <w:name w:val="inline-text"/>
    <w:basedOn w:val="DefaultParagraphFont"/>
  </w:style>
  <w:style w:type="paragraph" w:customStyle="1" w:styleId="header2-containerdiv">
    <w:name w:val="header2-container_div"/>
    <w:basedOn w:val="Normal"/>
    <w:pPr>
      <w:jc w:val="center"/>
    </w:pPr>
    <w:rPr>
      <w:b/>
      <w:bCs/>
      <w:lang w:val="ru-RU" w:eastAsia="ru-RU" w:bidi="ar-SA"/>
    </w:rPr>
  </w:style>
  <w:style w:type="paragraph" w:customStyle="1" w:styleId="bodydiv">
    <w:name w:val="body_div"/>
    <w:basedOn w:val="Normal"/>
    <w:pPr>
      <w:spacing w:line="264" w:lineRule="atLeast"/>
      <w:jc w:val="both"/>
    </w:pPr>
    <w:rPr>
      <w:rFonts w:ascii="noto" w:eastAsia="noto" w:hAnsi="noto" w:cs="noto"/>
      <w:lang w:val="ru-RU" w:eastAsia="ru-RU" w:bidi="ar-SA"/>
    </w:rPr>
  </w:style>
  <w:style w:type="paragraph" w:customStyle="1" w:styleId="justify-rightdiv">
    <w:name w:val="justify-right_div"/>
    <w:basedOn w:val="Normal"/>
    <w:pPr>
      <w:jc w:val="right"/>
    </w:pPr>
    <w:rPr>
      <w:lang w:val="ru-RU" w:eastAsia="ru-RU" w:bidi="ar-SA"/>
    </w:rPr>
  </w:style>
  <w:style w:type="character" w:customStyle="1" w:styleId="autonumeration-digit">
    <w:name w:val="autonumeration-digit"/>
    <w:basedOn w:val="DefaultParagraphFont"/>
  </w:style>
  <w:style w:type="paragraph" w:customStyle="1" w:styleId="autonumerationContainertext-paragraph">
    <w:name w:val="autonumerationContainer_text-paragraph"/>
    <w:basedOn w:val="Normal"/>
    <w:rPr>
      <w:lang w:val="ru-RU" w:eastAsia="ru-RU" w:bidi="ar-SA"/>
    </w:rPr>
  </w:style>
  <w:style w:type="paragraph" w:customStyle="1" w:styleId="liParagraph">
    <w:name w:val="li Paragraph"/>
    <w:basedOn w:val="Normal"/>
    <w:rPr>
      <w:lang w:val="ru-RU" w:eastAsia="ru-RU" w:bidi="ar-SA"/>
    </w:rPr>
  </w:style>
  <w:style w:type="character" w:customStyle="1" w:styleId="placeholderaggregation">
    <w:name w:val="placeholder aggregation"/>
    <w:basedOn w:val="DefaultParagraphFont"/>
  </w:style>
  <w:style w:type="paragraph" w:customStyle="1" w:styleId="autonumerationContainertext-paragraphtext-paragraph">
    <w:name w:val="autonumerationContainer_text-paragraph ~ text-paragraph"/>
    <w:basedOn w:val="Normal"/>
    <w:pPr>
      <w:ind w:firstLine="567"/>
    </w:pPr>
    <w:rPr>
      <w:lang w:val="ru-RU" w:eastAsia="ru-RU" w:bidi="ar-SA"/>
    </w:rPr>
  </w:style>
  <w:style w:type="character" w:customStyle="1" w:styleId="liinline-text">
    <w:name w:val="li_inline-text"/>
    <w:basedOn w:val="DefaultParagraphFont"/>
  </w:style>
  <w:style w:type="paragraph" w:customStyle="1" w:styleId="page-breakinner">
    <w:name w:val="page-break__inner"/>
    <w:basedOn w:val="Normal"/>
    <w:pPr>
      <w:pageBreakBefore/>
    </w:pPr>
    <w:rPr>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