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1" w:rsidRDefault="00417CF1" w:rsidP="00417CF1">
      <w:pPr>
        <w:keepNext/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ДОГОВОР № </w:t>
      </w:r>
      <w:r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eastAsia="ja-JP" w:bidi="fa-IR"/>
        </w:rPr>
        <w:t>К/2-79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  участия в долевом строительстве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г. Чебоксары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                      «</w:t>
      </w:r>
      <w:r w:rsidR="00A950C2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14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» февраля 2024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года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  <w:t>А</w:t>
      </w: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кционерное общество «</w:t>
      </w: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  <w:t>Специализированный застройщик «</w:t>
      </w: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Строительный трест №3»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, именуемое в дальнейшем «Застройщик», в лице генерального директора Сем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ё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нова Валерия Пименовича, действующего на основании Устава, с одной стороны, и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граждан</w:t>
      </w:r>
      <w:r w:rsidR="00231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ин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Российской Федерации </w:t>
      </w:r>
      <w:r w:rsidR="00231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Иванов Иван Иванович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00.00.0000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года рождения, паспорт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00 00 0000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выдан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00.00.0000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года Отделом УФМС России по </w:t>
      </w:r>
      <w:proofErr w:type="gramStart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Чувашская</w:t>
      </w:r>
      <w:proofErr w:type="gramEnd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Республике в Ленинском районе гор. Чебоксары,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зарегистрированны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й</w:t>
      </w:r>
      <w:proofErr w:type="gramEnd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адресу: Чувашская Республика, г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ор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. Чебоксары,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ул. Ленина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дом №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квартира №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lang w:val="de-DE" w:eastAsia="ja-JP" w:bidi="fa-IR"/>
        </w:rPr>
        <w:t>именуем</w:t>
      </w:r>
      <w:r w:rsidR="0023197D">
        <w:rPr>
          <w:rFonts w:ascii="Times New Roman" w:hAnsi="Times New Roman"/>
          <w:color w:val="000000" w:themeColor="text1"/>
          <w:kern w:val="3"/>
          <w:sz w:val="24"/>
          <w:szCs w:val="24"/>
          <w:lang w:eastAsia="ja-JP" w:bidi="fa-IR"/>
        </w:rPr>
        <w:t>ый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ПРЕДМЕТ ДОГОВОРА.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В соответствии с условиями настоящего договора Застройщик обязуется в предусмотренный договором срок своими силами и (или) с привлечением других лиц построить (создать) </w:t>
      </w:r>
      <w:r>
        <w:rPr>
          <w:rFonts w:ascii="Times New Roman" w:eastAsia="Andale Sans UI" w:hAnsi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Группу многоквартирных жилых домов по ул. Короленко г. Чебоксары. 2 этап строительства. Многоквартирный жилой дом поз.2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(далее Объект), и после получения разрешения на ввод его в эксплуатацию передать Участнику долевого строительства в собственность предусмотренный настоящим Договором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Объектом долевого строительства по настоящему Договору является жилое помещение (квартира) со следующими характеристиками: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Условный (на время строительства) номер Квартиры – </w:t>
      </w:r>
      <w:r w:rsidR="00471C61"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eastAsia="ja-JP" w:bidi="fa-IR"/>
        </w:rPr>
        <w:t>79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Квартира расположена на </w:t>
      </w:r>
      <w:r w:rsidR="00471C6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этаже в 3 подъезде Объекта.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Квартира состоит из </w:t>
      </w:r>
      <w:r w:rsidR="00471C6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2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жил</w:t>
      </w:r>
      <w:r w:rsidR="00471C6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ых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комнат, кухни, </w:t>
      </w:r>
      <w:r w:rsidR="00471C61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ванной,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с/у, прихожей и 1 лоджии.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Ориентировочная проектная площадь Квартиры составляет </w:t>
      </w:r>
      <w:r w:rsidR="00471C61"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eastAsia="ja-JP" w:bidi="fa-IR"/>
        </w:rPr>
        <w:t>61,0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кв.м. (в том числе площадь лоджии с коэффициентом 0,5).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Площади помещений Квартиры указаны в Плане Объекта долевого строительства (квартиры), отображающего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площади помещений вспомогательного использования, местоположение объекта долевого строительства на этаже многоквартирного дома. План приложен к настоящему Договору и является его неотъемлемой частью.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На момент завершения строительства Объекта Квартира должна быть в следующем состоянии и комплектации: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стены наружные: наружный слой – силикатный лицевой кирпич или керамический лицевой кирпич, внутренний слой – керамический поризованный камень и керамический поризованный кирпич;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стены внутренние – из полнотелого керамического кирпича или силикатного полнотелого кирпича;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перегородки межквартирные – из керамзитобетонных блоков;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перегородки межкомнатные – из силикатных блоков;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окна, балконные двери – из ПВХ профилей с двухкамерным стеклопакетом;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остекление лоджии – из алюминиевых профилей с одинарным остеклением;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входная дверь – дверь глухая деревянная;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iCs/>
          <w:color w:val="000000" w:themeColor="text1"/>
          <w:kern w:val="3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стяжка полов из цементно-песчаной смеси во всех помещениях (за исключением лоджий или балконов)</w:t>
      </w:r>
      <w:r>
        <w:rPr>
          <w:rFonts w:ascii="Times New Roman" w:hAnsi="Times New Roman"/>
          <w:iCs/>
          <w:color w:val="000000" w:themeColor="text1"/>
          <w:kern w:val="3"/>
          <w:sz w:val="24"/>
          <w:szCs w:val="24"/>
        </w:rPr>
        <w:t>;</w:t>
      </w:r>
    </w:p>
    <w:p w:rsidR="00417CF1" w:rsidRDefault="00417CF1" w:rsidP="00417CF1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lastRenderedPageBreak/>
        <w:t>- отопление – поквартирное теплоснабжение с использованием индивидуального настенного двухконтурного газового котла с закрытой камерой сгорания, разводка к отопительным приборам из металлополимерных труб, приборы отопления – алюминиевые радиаторы;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сантехническая разводка холодной воды – от стояка из стальных труб до прибора индивидуального учета; горячее водоснабжение – от индивидуального настенного двухконтурного газового котла; подводки к санитарным приборам в конструкции пола из металлополимерных труб, по стенам – из полипропиленновых труб;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выполняется электрическая разводка с установкой розеток, выключателей; вертикальная прокладка слаботочных сетей телевидения, интернета, распределительные сети прокладываются до прихожей;</w:t>
      </w:r>
    </w:p>
    <w:p w:rsidR="00417CF1" w:rsidRDefault="00417CF1" w:rsidP="00417CF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- устанавливаются приборы учета электроэнергии, холодной воды, газоснабжения.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По согласованию Сторон в Квартире Застройщиком не выполняются следующие виды работ: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чистовая внутренняя отделка стен, перегородок, потолков, откосов, труб (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штукатурка межкомнатных перегородок,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шпаклевка, оклейка обоями, окраска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, отделка плиткой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);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устройство покрытия полов в помещениях квартиры: из линолеума в жилых комнатах, кухне, прихожей; плиточные в ванной комнате, туалете, стяжка по плитам лоджий;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-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установка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подоконник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ов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– из подоконной доски ПВХ;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устройство штукатурки оконных откосов;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межкомнатных дверей;</w:t>
      </w:r>
    </w:p>
    <w:p w:rsidR="00417CF1" w:rsidRDefault="00417CF1" w:rsidP="00417CF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газовой плиты, сантехнического оборудования, в том числе полотенцесушителя и запорной арматуры, электрических патронов;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противопожарная сигнализация;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домофонная связь, за исключением кабельной разводки;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вентиляционных решеток на вентканалы;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канальных вентиляторов в Квартире;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электрического звонка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Установка сантехнических приборов, приобретение и доставка газовой плиты до строительной площадки осуществляется Участником долевого строительства самостоятельно и за свой счет. Газовая плита с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функцией полного газ-контроля и ПВХ газовой подводкой длиной 1,5 м с соединением на концах «гайка-штуцер» 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должна быть доставлена Участником долевого строительства не позднее 14 календарных с даты соответствующего уведомления.</w:t>
      </w:r>
    </w:p>
    <w:p w:rsidR="00417CF1" w:rsidRDefault="00417CF1" w:rsidP="00417C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нарушения срока доставки газовой плиты Участник долевого строительства уплачивает Застройщику штраф в размере 3 000 рублей. Уплата штрафа не освобождает Участника долевого строительства от обязанности по приобретению и доставке газовой плиты в Квартиру.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Основные характеристики многоэтажного жилого дома (Объекта):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Вид – многоквартирный жилой дом, расположенной по адресу: </w:t>
      </w: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Чувашская Республика, город Чебоксары, улица Короленко, позиция 2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Назначение – здание квартирного типа.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Этажность – 9 этажей, количество этажей – 10.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Количество подъездов – 5.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Общая площадь многоквартирного дома – 14981 кв.м.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Материал наружных стен: наружный слой – силикатный лицевой кирпич или керамический лицевой кирпич, внутренний слой – керамический поризованный камень и керамический поризованный кирпич.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Материал межэтажных перекрытий – сборные многопустотные железобетонные плиты.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Класс энергоэффективности – А++(высочайший).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Сейсмостойкость – 6.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lastRenderedPageBreak/>
        <w:t>Объект расположен на земельных участках с кадастровыми номерами 21:01:020201:2175, 21:01:020201:497.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Разрешение на строительство № 21-01-9-2023, выдано 27 февраля 2023 года Администрацией города Чебоксары Чувашской Республики.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Срок окончания строительства Объекта – </w:t>
      </w:r>
      <w:r>
        <w:rPr>
          <w:rFonts w:ascii="Times New Roman" w:eastAsia="Andale Sans UI" w:hAnsi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2</w:t>
      </w: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 квартал 2025 года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В ходе строительства и до ввода Объекта в эксплуатацию Участник долевого строительства не имеет права вносить какие-либо изменения в планировку Квартиры, а также проводить строительно-монтажные и иные работы в Квартире до ее передачи по акту Участнику долевого строительства.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С проектными и строительными характеристиками Квартиры и Объекта, положительным заключением экспертизы на Объект, содержанием проектной документации и проектной декларации Участник долевого строительства ознакомлен при подписании настоящего договора.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pStyle w:val="a4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ЦЕНА ДОГОВОРА И ПОРЯДОК РАСЧЕТА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>На момент заключения настоящего договора ориентировочная стоимость строительства Квартиры, указанной в п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 xml:space="preserve">ункте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>1.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2.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настоящего договора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составляет </w:t>
      </w:r>
      <w:r>
        <w:rPr>
          <w:rFonts w:ascii="Times New Roman" w:eastAsia="Andale Sans UI" w:hAnsi="Times New Roman"/>
          <w:b/>
          <w:i/>
          <w:color w:val="000000" w:themeColor="text1"/>
          <w:kern w:val="3"/>
          <w:sz w:val="24"/>
          <w:szCs w:val="24"/>
          <w:highlight w:val="yellow"/>
          <w:lang w:eastAsia="ja-JP" w:bidi="fa-IR"/>
        </w:rPr>
        <w:t>0 000 000 () рублей,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исходя из стоимости одного квадратного метра ориентировочной проектной площади Квартиры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000 000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() рублей, в том числе стоимость лоджи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ориентировочной проектной площадью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00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(с коэффициентом 0,5)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 xml:space="preserve">и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>стоимост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 xml:space="preserve"> отопительного котла с газоходами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в размере</w:t>
      </w:r>
      <w:r>
        <w:rPr>
          <w:rFonts w:ascii="Times New Roman" w:eastAsia="Andale Sans UI" w:hAnsi="Times New Roman"/>
          <w:bCs/>
          <w:iCs/>
          <w:color w:val="000000" w:themeColor="text1"/>
          <w:kern w:val="3"/>
          <w:sz w:val="24"/>
          <w:szCs w:val="24"/>
          <w:highlight w:val="yellow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suppressAutoHyphens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val="de-DE" w:eastAsia="ja-JP" w:bidi="fa-I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Стороны установили, что окончательная стоимость Квартиры будет определяться в соответствии с пунктами 2.4, 2.5. настоящего договора.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Участник долевого строительства оплачивает: сумму в размере </w:t>
      </w:r>
      <w:r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0 000 000 () рублей</w:t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за счет собственных средств не позднее 5 (пяти) рабочих дней с даты государственной регистрации настоящего Договора.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 обязуется внести денежные средства в счет уплаты цены настоящего договора на специальный счет эскроу, открываемый в Банке ВТБ (ПАО)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 (далее – Бенефициар), Депонентом и Эскроу-агентом на условиях 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(далее – Правила), с учетом следующего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17CF1" w:rsidRDefault="00417CF1" w:rsidP="00417C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Эскроу-агент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Банк ВТБ (ПАО). Генеральная лицензия Банка России на осуществление банковских операций № 1000, место нахождения: 190000, г. Санкт-Петербург, ул. Большая Морская, д. 29; почтовый адрес: 109147 г. Москва, Банк ВТБ (ПАО), ул. Воронцовская, д.43, стр.1,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кор/счет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«Банк»/«Эскроу-агент»/«Акцептант»)</w:t>
      </w:r>
      <w:r>
        <w:rPr>
          <w:rFonts w:ascii="Times New Roman" w:eastAsia="Liberation Serif" w:hAnsi="Times New Roman"/>
          <w:color w:val="000000" w:themeColor="text1"/>
          <w:sz w:val="24"/>
          <w:szCs w:val="24"/>
          <w:lang w:eastAsia="ru-RU"/>
        </w:rPr>
        <w:t>.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Депонент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граждан</w:t>
      </w:r>
      <w:r w:rsidR="00231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ин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Российской Федерации </w:t>
      </w:r>
      <w:r w:rsidR="00231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Иванов Иван Иванович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00.00.0000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года рождения, паспорт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00 00 0000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выдан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00.00.0000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года Отделом УФМС России по </w:t>
      </w:r>
      <w:proofErr w:type="gramStart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Чувашская</w:t>
      </w:r>
      <w:proofErr w:type="gramEnd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Республике в Ленинском районе гор. Чебоксары,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зарегистрированны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й</w:t>
      </w:r>
      <w:proofErr w:type="gramEnd"/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по адресу: Чувашская Республика, г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ор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. Чебоксары,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ул. Ленина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дом №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квартира № 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417CF1" w:rsidRDefault="00417CF1" w:rsidP="00417C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Бенефициар: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кционерное общество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«Специализированный застройщик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«Строительный трест №3»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428003, г. Чебоксары, ул. Ярославская, 76,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оф. 312,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тел.62-09-79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ИНН 2128007123,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КПП 213001001, ОГРН 1022101134978,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>40702810215960001891,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ФИЛИАЛ "ЦЕНТРАЛЬНЫЙ" БАНКА ВТБ (ПАО), к/сч. 30101810145250000411, БИК 044525411.</w:t>
      </w:r>
    </w:p>
    <w:p w:rsidR="00417CF1" w:rsidRDefault="00417CF1" w:rsidP="00417C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Депонируемая сумма</w:t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: </w:t>
      </w:r>
      <w:r>
        <w:rPr>
          <w:rFonts w:ascii="Times New Roman" w:eastAsia="Andale Sans UI" w:hAnsi="Times New Roman"/>
          <w:b/>
          <w:i/>
          <w:color w:val="000000" w:themeColor="text1"/>
          <w:kern w:val="3"/>
          <w:sz w:val="24"/>
          <w:szCs w:val="24"/>
          <w:highlight w:val="yellow"/>
          <w:lang w:eastAsia="ja-JP" w:bidi="fa-IR"/>
        </w:rPr>
        <w:t>0 000 000 () рублей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highlight w:val="yellow"/>
          <w:lang w:eastAsia="ja-JP" w:bidi="fa-IR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417CF1" w:rsidRDefault="00417CF1" w:rsidP="00417CF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 перечисления Депонентом Суммы депонирования: </w:t>
      </w:r>
      <w:r>
        <w:rPr>
          <w:rFonts w:ascii="Times New Roman" w:eastAsia="Times New Roman" w:hAnsi="Times New Roman"/>
          <w:sz w:val="24"/>
          <w:szCs w:val="24"/>
        </w:rPr>
        <w:t>после государственной регистрации настоящего Договора, в сроки, предусмотренные п. 2.1.1.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417CF1" w:rsidRDefault="00417CF1" w:rsidP="00417CF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Срок условного депонирования денежных средств: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30 июня 2025 года,  но не более шести месяцев после срока ввода в эксплуатацию Объекта.</w:t>
      </w:r>
    </w:p>
    <w:p w:rsidR="00417CF1" w:rsidRDefault="00417CF1" w:rsidP="00417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Основания перечисления застройщику (бенефициару) депонированной суммы: </w:t>
      </w:r>
    </w:p>
    <w:p w:rsidR="00417CF1" w:rsidRDefault="00417CF1" w:rsidP="00417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 разрешение на ввод в эксплуатацию Объекта.</w:t>
      </w:r>
    </w:p>
    <w:p w:rsidR="00417CF1" w:rsidRDefault="00417CF1" w:rsidP="00417C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Реквизиты расчетного счета Бенефициара для перечисления депонированной суммы, на который подлежат перечислению денежные средства со счета эскроу при наступлении оснований, предусмотренных договором счета эскроу: р/с </w:t>
      </w:r>
      <w:r>
        <w:rPr>
          <w:rFonts w:ascii="Times New Roman" w:hAnsi="Times New Roman"/>
          <w:sz w:val="24"/>
          <w:szCs w:val="24"/>
        </w:rPr>
        <w:t>40702810215960001891</w:t>
      </w:r>
      <w:r>
        <w:rPr>
          <w:rFonts w:ascii="Times New Roman" w:hAnsi="Times New Roman"/>
          <w:color w:val="000000" w:themeColor="text1"/>
          <w:sz w:val="24"/>
          <w:szCs w:val="24"/>
        </w:rPr>
        <w:t>, ФИЛИАЛ "ЦЕНТРАЛЬНЫЙ" БАНКА ВТБ (ПАО), к/сч. 30101810145250000411, БИК 044525411.</w:t>
      </w:r>
    </w:p>
    <w:p w:rsidR="00417CF1" w:rsidRDefault="00417CF1" w:rsidP="00417C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Получатель: Акционерное общество «Специализированный застройщик «Строительный трест №3», 428003, г. Чебоксары, ул. Ярославская, 76, офис 312, тел.62-09-79, ИНН 2128007123, ОГРН 1022101134978.</w:t>
      </w:r>
    </w:p>
    <w:p w:rsidR="00417CF1" w:rsidRDefault="00417CF1" w:rsidP="00417C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открытого в банке.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Окончательная (фактическая) площадь Квартиры, в том числе площади 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Если по результатам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технической инвентаризации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общая площадь Квартиры с учетом площади лоджии (балкона), передаваемой в собственность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Участнику долевого строительства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, окажется более той, что указана в п.1.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2.4.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настоящего договора,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то Участник долевого строительства до подписания передаточного акта на Квартиру производит доплату,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исходя из стоимости одного квадратного метра расчетной проектной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го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договор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Участника долевого строительства по телефону или смс-извещения.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Если по результатам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технической инвентаризации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общая площадь Квартиры</w:t>
      </w:r>
      <w:r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с учетом площади лоджии (балкона), передаваемой в собственность Участник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строительства, окажется менее той, что указана в п.1.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2.4.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настоящего договора, Застройщик обязуется вернуть Участник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 денежные средства за недостающую площадь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на его лицевой (расчетный) счет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исходя из стоимости одного квадратного метра расчетной проектной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го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договор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Возврат денежных средств производится в течение 15 календарных дней на основании письменного заявления </w:t>
      </w:r>
      <w:bookmarkStart w:id="0" w:name="_Hlk89250540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Участника долевого строительства</w:t>
      </w:r>
      <w:bookmarkEnd w:id="0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7CF1" w:rsidRDefault="00417CF1" w:rsidP="00417CF1">
      <w:pPr>
        <w:pStyle w:val="a4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ОБЯЗАТЕЛЬСТВА СТОРОН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</w:t>
      </w: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бязанности Застройщика: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Обеспечить строительство Объекта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в соответствии с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проектно-сметной документацией, отвечающей требованиям нормативных документов и техническим условиям.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Организовать строительство Объекта собственными силами и силами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lastRenderedPageBreak/>
        <w:t>привлеченных субподрядных организаций в объеме и в сроки, предусмотренные настоящим договором.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Обеспечить сдачу Объекта в эксплуатацию </w:t>
      </w:r>
      <w:r>
        <w:rPr>
          <w:rFonts w:ascii="Times New Roman" w:eastAsia="Andale Sans UI" w:hAnsi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во 2 квартале 2025 года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Передать Квартиру по передаточному акту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- </w:t>
      </w: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не позднее 31 декабря 2025 года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при условии полного выполнения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Участником долевого строительства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своих обязательств </w:t>
      </w:r>
      <w:r>
        <w:rPr>
          <w:rFonts w:ascii="Times New Roman" w:eastAsia="Andale Sans UI" w:hAnsi="Times New Roman"/>
          <w:color w:val="000000" w:themeColor="text1"/>
          <w:sz w:val="24"/>
          <w:szCs w:val="24"/>
        </w:rPr>
        <w:t>в соответствии с пунктами 2.1. и 2.2. настоящего договора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 этом Стороны согласны, что передача Квартиры может быть осуществлена досрочно, но не ранее дня получения Застройщиком разрешения на ввод Объекта в эксплуатацию.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Н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е менее чем за месяц до наступления установленного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настоящим До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до наступления установленного настоящим договором срока передачи Квартиры направить Участнику долевого строительства сообщение (уведомление) о готовности Квартиры к передаче по почте заказным письмом с уведомлением, либо лично под расписку. </w:t>
      </w:r>
      <w:bookmarkStart w:id="1" w:name="_Hlk92707771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 вправе уведомить Участника долевого строительства о завершении строительства Объекта и готовности Квартиры к передаче также путем смс информирования по номеру телефона, указанному в договоре, и посредством размещения указанной информации на сайте Застройщика. </w:t>
      </w:r>
      <w:bookmarkEnd w:id="1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Передача Участнику долевого строительства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Участнику долевого строительства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Участник долевого строительства несет обязательства по содержанию Квартиры.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Совместно с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Участником долевого строительства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зарегистрировать настоящий договор в Управлении Федеральной службы государственной регистрации, кадастра и картографии по Чувашской Республике.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Права Застройщика: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Н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е передавать (удерживать) Квартиру до момента выполнения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Участником долевого строительства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перед Застройщиком обязательств, предусмотренных договором и (или) действующим законодательством РФ.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Досрочно завершить строительство многоквартирного дома,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Перенести сроки выполнения работ по благоустройству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озеленению, на ближайший благоприятный период, в том числе озеленение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на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ближайший благоприятный агротехнический период, следующий за моментом ввода объекта в эксплуатацию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 соответствии  СП-68.13330.2017.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 имеет право без дополнительного уведомления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внести в ходе строительства Объекта долевого строительства архитектурно-планировочные,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 при условии, что Объект долевого строительства будет отвечать требованиям проектной документации.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lastRenderedPageBreak/>
        <w:t>Застройщик не несет ответственности за нарушение срока передачи Квартиры Участник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строительства, если передаточный акт не был подписан в установленный договором срок по вине Участника долевого строительства, в том числе ввиду несоблюдения Участник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ом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долевого строительства срока приемки или ввиду невнесения Участни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ком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 полной цены договора в сроки, установленные договором.    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859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</w:t>
      </w:r>
      <w:r>
        <w:rPr>
          <w:rFonts w:ascii="Times New Roman" w:eastAsia="Andale Sans UI" w:hAnsi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бязанности Участника долевого строительства: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spacing w:val="12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Совместно с Застройщиком в течение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10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дней с даты подписания зарегистрировать настоящий договор в </w:t>
      </w:r>
      <w:r>
        <w:rPr>
          <w:rFonts w:ascii="Times New Roman" w:eastAsia="Andale Sans UI" w:hAnsi="Times New Roman"/>
          <w:color w:val="000000" w:themeColor="text1"/>
          <w:spacing w:val="-2"/>
          <w:kern w:val="3"/>
          <w:sz w:val="24"/>
          <w:szCs w:val="24"/>
          <w:lang w:val="de-DE" w:eastAsia="ja-JP" w:bidi="fa-IR"/>
        </w:rPr>
        <w:t xml:space="preserve">Управлении Федеральной службы государственной регистрации, кадастра и картографии по </w:t>
      </w:r>
      <w:r>
        <w:rPr>
          <w:rFonts w:ascii="Times New Roman" w:eastAsia="Andale Sans UI" w:hAnsi="Times New Roman"/>
          <w:color w:val="000000" w:themeColor="text1"/>
          <w:spacing w:val="12"/>
          <w:kern w:val="3"/>
          <w:sz w:val="24"/>
          <w:szCs w:val="24"/>
          <w:lang w:val="de-DE" w:eastAsia="ja-JP" w:bidi="fa-IR"/>
        </w:rPr>
        <w:t>Чувашской Республике</w:t>
      </w:r>
      <w:r>
        <w:rPr>
          <w:rFonts w:ascii="Times New Roman" w:eastAsia="Andale Sans UI" w:hAnsi="Times New Roman"/>
          <w:color w:val="000000" w:themeColor="text1"/>
          <w:spacing w:val="12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Участника долевого строительства на Квартиру.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Своевременно и в полном объеме произвести оплату Квартиры на условиях настоящего договора.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После ввода Объекта в эксплуатацию лично либо через своего уполномоченного представителя (на основании нотариально оформленной доверенности) в течение семи рабочих дней со дня получения сообщения (уведомлени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я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 Застройщика,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приступить к приемке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Квартир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ы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по передаточному акту. В случае невозможности по уважительным причинам принять в установленный срок Квартиру письменно сообщить об этом Застройщику.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 случае уклонения от подписания передаточного акта на Квартиру  по вине Участника долевого строительства компенсировать Застройщику затраты по коммунальным платежам, охране, техобслуживанию соразмерно площади Квартиры за период с даты ввода жилого дома в эксплуатацию и до подписания сторонами передаточного акта на Квартиру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(составления одностороннего акта)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. Компенсация затрат производится путем  перечисления денежных средств на расчетный счет Застройщика.  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Письменно уведомить Застройщика об изменении своих паспортных данных, в том числе сведений о номере телефона,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уступке прав по настоящему Договору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 3-х дневный срок с даты таких изменений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(заключения договора уступки)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 В противном случае сообщения, переданные по известному последнему адресу (телефону), считаются переданными надлежащим образом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и надлежащему лицу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По завершен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ии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 сроки, установленные Застройщиком,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связанные с вводом индивидуального газового котла в эксплуатацию.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Оплатить, нести все расходы по коммунальным и другим эксплуатационным услугам, предъявленным Застройщиком либо эксплуатирующими организациями с момента подписания акта приема-передачи Объекта долевого строительства.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случае досрочного завершения строительства Участник долевого строительства обязан произвести полную оплату по настоящему Договору в течение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30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Тридцати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) дней после получения уведомления Застройщика о завершении строительства многоквартирного дома и готовности объекта долевого строительства к передаче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pStyle w:val="a4"/>
        <w:widowControl w:val="0"/>
        <w:numPr>
          <w:ilvl w:val="2"/>
          <w:numId w:val="1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Провести самостоятельно и за свой счет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работы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, предусмотренные проектной документацией и не выполняемые Застройщиком (пункт 1.4 Договора)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в целях достижения Участником долевого строительства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уровня комфортного проживания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в том числе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по отделке помещений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Квартиры и обеспечению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соблюдения звукоизолирующих свойств ограждающих конструкций  (стен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перекрытий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, перегородок)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:rsidR="00417CF1" w:rsidRDefault="00417CF1" w:rsidP="00417CF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pStyle w:val="a4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lastRenderedPageBreak/>
        <w:t>ГАРАНТИИ КАЧЕСТВА.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подписания уполномоченным органом разрешения на ввод Объекта в эксплуатацию.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передаточного акта. Гарантийный срок оборудования и комплектующих заводского изготовления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электросчетчик, счетчик учета потребления воды, тепла, газа, дверные замки, оконная фурнитура) соответствует гарантийному сроку, установленному изготовителем, и не превышает 3 (Три) года.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Недостатки, выявленные в течение гарантийного срока, устраняются Застройщиком за свой счет после получения уведомления Участника долевого строительства и  составления акта о недостатках с участием Застройщика. Заменяемые материалы и оборудование подлежат передаче в таком случае Застройщику. Срок устранения недостатков составляет 45 дней с даты составления акта о недостатках.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 xml:space="preserve"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В случае непринятия (уклонения от приемки)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:rsidR="00417CF1" w:rsidRDefault="00417CF1" w:rsidP="00417CF1">
      <w:pPr>
        <w:pStyle w:val="a4"/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</w:p>
    <w:p w:rsidR="00417CF1" w:rsidRDefault="00417CF1" w:rsidP="00417CF1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ОТВЕТСТВЕННОСТЬ СТОРОН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случае нарушения срока внесения платежей согласно п.2.3 настоящего договора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по требованию Застройщика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уплачивает пени в размере одной трехсотой учетной ставки рефинансирования Банка России, действующей на день исполнения обязательства, от суммы просроченного платежа за каждый день просрочки до фактического исполнения обязательств.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нарушения предусмотренного договором срока передачи Квартиры Застройщик уплачивает Участнику долевого строительства неустойку (пени) в размере, установленном частью 2 статьи 6 Федерального закона от 30 декабря 2004 года №214-ФЗ.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417CF1" w:rsidRDefault="00417CF1" w:rsidP="00417CF1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sub_903"/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случае наличия оснований для одностороннего отказа застройщика от исполнения договора, предусмотренных </w:t>
      </w:r>
      <w:hyperlink r:id="rId6" w:anchor="sub_504" w:history="1">
        <w:r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частями 4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hyperlink r:id="rId7" w:anchor="sub_505" w:history="1">
        <w:r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5 статьи 5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вправе расторгнуть договор в порядке, установленном указанным законом. </w:t>
      </w:r>
    </w:p>
    <w:bookmarkEnd w:id="2"/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СРОК  ДЕЙСТВИЯ ДОГОВОРА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Настоящий договор действует с момента его государственной регистрации и до момента исполнения Сторонами своих обязательств по нему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</w:p>
    <w:p w:rsidR="00417CF1" w:rsidRDefault="00417CF1" w:rsidP="00417CF1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ДОПОЛНИТЕЛЬНЫЕ УСЛОВИЯ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Застройщик и Участник долевого строительства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предлагают (адресуют оферту) 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ja-JP" w:bidi="fa-IR"/>
        </w:rPr>
        <w:t>Банку ВТБ (ПАО)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заключить трехсторонний Договор счета эскроу на условиях Правил совершения операций по счетам эскроу физических лиц в 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ja-JP" w:bidi="fa-IR"/>
        </w:rPr>
        <w:t>Банке ВТБ (ПАО)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открытым для расчетов по договорам об участии в долевом строительстве, разработанных 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val="de-DE" w:eastAsia="ja-JP" w:bidi="fa-IR"/>
        </w:rPr>
        <w:t>Банк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ja-JP" w:bidi="fa-IR"/>
        </w:rPr>
        <w:t>ом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val="de-DE" w:eastAsia="ja-JP" w:bidi="fa-IR"/>
        </w:rPr>
        <w:t xml:space="preserve"> ВТБ (ПАО)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размещенных на официальном интернет-сайте 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val="de-DE" w:eastAsia="ja-JP" w:bidi="fa-IR"/>
        </w:rPr>
        <w:t>Банк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ja-JP" w:bidi="fa-IR"/>
        </w:rPr>
        <w:t xml:space="preserve">а 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val="de-DE" w:eastAsia="ja-JP" w:bidi="fa-IR"/>
        </w:rPr>
        <w:t xml:space="preserve">ВТБ (ПАО) </w:t>
      </w:r>
      <w:r>
        <w:rPr>
          <w:rFonts w:ascii="Times New Roman" w:hAnsi="Times New Roman"/>
          <w:color w:val="000000" w:themeColor="text1"/>
          <w:sz w:val="24"/>
          <w:szCs w:val="24"/>
        </w:rPr>
        <w:t>(далее – Правила).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Застройщик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поручает (предоставляет полномочия) Участнику долевого строительства передать 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val="de-DE" w:eastAsia="ja-JP" w:bidi="fa-IR"/>
        </w:rPr>
        <w:t>Банк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color w:val="000000" w:themeColor="text1"/>
          <w:kern w:val="2"/>
          <w:sz w:val="24"/>
          <w:szCs w:val="24"/>
          <w:lang w:val="de-DE" w:eastAsia="ja-JP" w:bidi="fa-IR"/>
        </w:rPr>
        <w:t xml:space="preserve"> ВТБ (ПАО) </w:t>
      </w:r>
      <w:r>
        <w:rPr>
          <w:rFonts w:ascii="Times New Roman" w:hAnsi="Times New Roman"/>
          <w:color w:val="000000" w:themeColor="text1"/>
          <w:sz w:val="24"/>
          <w:szCs w:val="24"/>
        </w:rPr>
        <w:t>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о заключении Договора счета эскроу.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 согласен на внесение следующих изменений в проектную документацию Объекта:</w:t>
      </w:r>
    </w:p>
    <w:p w:rsidR="00417CF1" w:rsidRDefault="00417CF1" w:rsidP="00417CF1">
      <w:pPr>
        <w:pStyle w:val="a4"/>
        <w:widowControl w:val="0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увеличение этажности (без составления и подписания сторонами дополнительного соглашения к настоящему Договору); </w:t>
      </w:r>
    </w:p>
    <w:p w:rsidR="00417CF1" w:rsidRDefault="00417CF1" w:rsidP="00417CF1">
      <w:pPr>
        <w:pStyle w:val="a4"/>
        <w:widowControl w:val="0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изменение количественного состава жилых и нежилых помещений;</w:t>
      </w:r>
    </w:p>
    <w:p w:rsidR="00417CF1" w:rsidRDefault="00417CF1" w:rsidP="00417CF1">
      <w:pPr>
        <w:pStyle w:val="a4"/>
        <w:widowControl w:val="0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изменение схемы планировочных решений земельного участка, в том числе размещения машино-мест.</w:t>
      </w:r>
    </w:p>
    <w:p w:rsidR="006D3FD7" w:rsidRPr="0021123E" w:rsidRDefault="006D3FD7" w:rsidP="006D3FD7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</w:pPr>
      <w:r w:rsidRPr="0021123E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>Подписывая настоящий договор, Участник долевого строительства дает согласие:</w:t>
      </w:r>
    </w:p>
    <w:p w:rsidR="006D3FD7" w:rsidRPr="003D24E1" w:rsidRDefault="006D3FD7" w:rsidP="006D3FD7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</w:pP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на разделение, объединение и (или) перераспределение земельн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ых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участк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ов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с кадастровым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номер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а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м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21:01:020201:2175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, </w:t>
      </w:r>
      <w:r w:rsidRPr="0021123E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21:01:020201:497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, а также с иными 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земельным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участк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а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м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, снятие 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их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с кадастрового учета и прекращение существования;</w:t>
      </w:r>
    </w:p>
    <w:p w:rsidR="006D3FD7" w:rsidRPr="005F6848" w:rsidRDefault="006D3FD7" w:rsidP="006D3FD7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</w:pP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 xml:space="preserve">на внесение изменений в разрешение </w:t>
      </w:r>
      <w:r w:rsidRPr="005F6848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 xml:space="preserve">на строительство </w:t>
      </w:r>
      <w:r w:rsidRPr="005F6848">
        <w:rPr>
          <w:rFonts w:ascii="Times New Roman" w:hAnsi="Times New Roman"/>
          <w:noProof/>
          <w:sz w:val="23"/>
          <w:szCs w:val="23"/>
          <w:highlight w:val="yellow"/>
        </w:rPr>
        <w:t>№ 21-01-9-2023 от 27.02.2023</w:t>
      </w:r>
      <w:r w:rsidRPr="005F6848">
        <w:rPr>
          <w:rFonts w:ascii="Times New Roman" w:eastAsia="Andale Sans UI" w:hAnsi="Times New Roman"/>
          <w:b/>
          <w:color w:val="000000" w:themeColor="text1"/>
          <w:kern w:val="3"/>
          <w:sz w:val="23"/>
          <w:szCs w:val="23"/>
          <w:highlight w:val="yellow"/>
          <w:lang w:eastAsia="ja-JP" w:bidi="fa-IR"/>
        </w:rPr>
        <w:t xml:space="preserve"> </w:t>
      </w:r>
      <w:r w:rsidRPr="005F6848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 xml:space="preserve"> </w:t>
      </w:r>
      <w:r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>О</w:t>
      </w:r>
      <w:r w:rsidRPr="005F6848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 xml:space="preserve">бъекта капитального строительства «Группа многоквартирных жилых домов по ул. Короленко в г. Чебоксары. 2 этап строительства. Многоквартирный жилой дом поз. 2» 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с учетом нормативов проектирования</w:t>
      </w:r>
      <w:r w:rsidRPr="005F6848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>, в том числе:</w:t>
      </w:r>
    </w:p>
    <w:p w:rsidR="006D3FD7" w:rsidRPr="0021123E" w:rsidRDefault="006D3FD7" w:rsidP="006D3FD7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</w:pPr>
      <w:r w:rsidRPr="0021123E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>в связи с изменением проектных характеристик Объекта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,</w:t>
      </w:r>
      <w:r w:rsidRPr="002527FF">
        <w:rPr>
          <w:rFonts w:ascii="Times New Roman" w:hAnsi="Times New Roman"/>
          <w:b/>
          <w:color w:val="262626"/>
          <w:kern w:val="36"/>
          <w:sz w:val="23"/>
          <w:szCs w:val="23"/>
        </w:rPr>
        <w:t xml:space="preserve"> 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>в том числе и после возникновения</w:t>
      </w:r>
      <w:r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>: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 xml:space="preserve"> права общедолевой собственности собственников помещений</w:t>
      </w:r>
      <w:r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>; права собственности доли Участника долевого строительства в праве общей собственности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 xml:space="preserve"> </w:t>
      </w:r>
      <w:r w:rsidRPr="005F6848">
        <w:rPr>
          <w:rFonts w:ascii="Times New Roman" w:hAnsi="Times New Roman"/>
          <w:noProof/>
          <w:sz w:val="23"/>
          <w:szCs w:val="23"/>
          <w:highlight w:val="yellow"/>
        </w:rPr>
        <w:t xml:space="preserve">на земельный участок с кадастровым номером 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21:01:020201:2175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 xml:space="preserve">, </w:t>
      </w:r>
      <w:r w:rsidRPr="0021123E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21:01:020201:497</w:t>
      </w:r>
      <w:r w:rsidRPr="0021123E">
        <w:rPr>
          <w:rFonts w:ascii="Times New Roman" w:eastAsia="Andale Sans UI" w:hAnsi="Times New Roman"/>
          <w:color w:val="000000" w:themeColor="text1"/>
          <w:kern w:val="3"/>
          <w:sz w:val="23"/>
          <w:szCs w:val="23"/>
          <w:highlight w:val="yellow"/>
          <w:lang w:eastAsia="ja-JP" w:bidi="fa-IR"/>
        </w:rPr>
        <w:t>;</w:t>
      </w:r>
    </w:p>
    <w:p w:rsidR="006D3FD7" w:rsidRPr="003D24E1" w:rsidRDefault="006D3FD7" w:rsidP="006D3FD7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</w:pP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в связи со снятием с кадастрового учета и прекращения существования земельного участка с кадастровым номером 21:01:020201:2175,</w:t>
      </w:r>
      <w:r w:rsidRPr="00F50AA3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 xml:space="preserve"> </w:t>
      </w:r>
      <w:r w:rsidRPr="0021123E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21:01:020201:497</w:t>
      </w:r>
      <w:r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с образованием нового земельного участка путем разделения, объединения и (или) перераспределения с иным земельным участком (земельными участками); </w:t>
      </w:r>
    </w:p>
    <w:p w:rsidR="006D3FD7" w:rsidRPr="005F6848" w:rsidRDefault="006D3FD7" w:rsidP="006D3FD7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</w:pP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на строительство на земельн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ых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участк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ах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с кадастровым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номер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а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м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21:01:020201:2175,</w:t>
      </w:r>
      <w:r w:rsidRPr="00F50AA3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 xml:space="preserve"> </w:t>
      </w:r>
      <w:r w:rsidRPr="0021123E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21:01:020201:497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,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на вновь образованном земельном участке путем разделения, объединения и (или) перераспределения земельн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ых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участк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ов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с кадастровым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номер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а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м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и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21:01:020201:2175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,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</w:t>
      </w:r>
      <w:r w:rsidR="00063C86" w:rsidRPr="0021123E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21:01:020201:497</w:t>
      </w:r>
      <w:r w:rsidR="00063C86" w:rsidRPr="003D24E1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с иным земельным участком (земельными участками), (иных земельных участках) иных объектов капитального строительства в соответствии с требованиями действующего законодательства с учетом нормативов проектирования, 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 xml:space="preserve">в том числе и после 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lastRenderedPageBreak/>
        <w:t>возникновения</w:t>
      </w:r>
      <w:r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>: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 xml:space="preserve"> права общедолевой собственности собственников помещений</w:t>
      </w:r>
      <w:r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>; права собственности доли Участника долевого строительства в праве общей собственности</w:t>
      </w:r>
      <w:r w:rsidRPr="005F6848">
        <w:rPr>
          <w:rFonts w:ascii="Times New Roman" w:hAnsi="Times New Roman"/>
          <w:color w:val="262626"/>
          <w:kern w:val="36"/>
          <w:sz w:val="23"/>
          <w:szCs w:val="23"/>
          <w:highlight w:val="yellow"/>
        </w:rPr>
        <w:t xml:space="preserve"> </w:t>
      </w:r>
      <w:r w:rsidRPr="005F6848">
        <w:rPr>
          <w:rFonts w:ascii="Times New Roman" w:hAnsi="Times New Roman"/>
          <w:noProof/>
          <w:sz w:val="23"/>
          <w:szCs w:val="23"/>
          <w:highlight w:val="yellow"/>
        </w:rPr>
        <w:t xml:space="preserve">на земельный участок с кадастровым номером 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21:01:020201:2175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,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а также на вновь образованный земельный участок путем разделения, объединения и (или) перераспределения земельного участка с кадастровым номером 21:01:020201:2175</w:t>
      </w:r>
      <w:r w:rsidR="00063C86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, </w:t>
      </w:r>
      <w:r w:rsidR="00063C86" w:rsidRPr="0021123E">
        <w:rPr>
          <w:rFonts w:ascii="Times New Roman" w:eastAsia="Andale Sans UI" w:hAnsi="Times New Roman"/>
          <w:color w:val="000000"/>
          <w:kern w:val="3"/>
          <w:sz w:val="23"/>
          <w:szCs w:val="23"/>
          <w:highlight w:val="yellow"/>
          <w:lang w:eastAsia="ja-JP" w:bidi="fa-IR"/>
        </w:rPr>
        <w:t>21:01:020201:497</w:t>
      </w:r>
      <w:r w:rsidRPr="005F6848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с иным земельным участком (земельными участками);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</w:t>
      </w:r>
    </w:p>
    <w:p w:rsidR="00417CF1" w:rsidRDefault="00417CF1" w:rsidP="00417CF1">
      <w:pPr>
        <w:widowControl w:val="0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/>
          <w:color w:val="000000"/>
          <w:kern w:val="3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lang w:eastAsia="ja-JP" w:bidi="fa-IR"/>
        </w:rPr>
        <w:t xml:space="preserve">залог в пользу Банка ВТБ (ПАО) земельного участка с кадастровым номером </w:t>
      </w:r>
      <w:r w:rsidR="00492472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21:01:020201:2175, 21:01:020201:497</w:t>
      </w:r>
      <w:r>
        <w:rPr>
          <w:rFonts w:ascii="Times New Roman" w:eastAsia="Andale Sans UI" w:hAnsi="Times New Roman"/>
          <w:color w:val="000000"/>
          <w:kern w:val="3"/>
          <w:lang w:eastAsia="ja-JP" w:bidi="fa-IR"/>
        </w:rPr>
        <w:t xml:space="preserve">, а также вновь образованного земельного участка путем разделения, объединения и (или) перераспределения земельного участка с кадастровым номером </w:t>
      </w:r>
      <w:r w:rsidR="00492472"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21:01:020201:2175, 21:01:020201:497 </w:t>
      </w:r>
      <w:r>
        <w:rPr>
          <w:rFonts w:ascii="Times New Roman" w:eastAsia="Andale Sans UI" w:hAnsi="Times New Roman"/>
          <w:color w:val="000000"/>
          <w:kern w:val="3"/>
          <w:lang w:eastAsia="ja-JP" w:bidi="fa-IR"/>
        </w:rPr>
        <w:t>с иным земельным участком (земельными участками) в связи со строительством иных объектов капитального строительства в соответствии с требованиями действующего законодательства с учетом нормативов проектирования;</w:t>
      </w:r>
    </w:p>
    <w:p w:rsidR="00417CF1" w:rsidRDefault="00417CF1" w:rsidP="00417CF1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highlight w:val="yellow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lang w:eastAsia="ja-JP" w:bidi="fa-IR"/>
        </w:rPr>
        <w:t>- на безвозмездную передачу на баланс города инженерных сетей и дорог, предусмотренных проектом, по окончании строительства и ввода дома в эксплуатацию».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Уведомления (сообщения), предусмотренные настоящим Договором, могут быть направлены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ом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Участник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по почте заказным письмом,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либо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размещен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ы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на сайте Застройщика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, либо направлены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по номеру телефона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или на адрес электронной почты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, указанные в договор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е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либо вручены лично под расписку, если иное не предусмотрено настоящим Договором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Выбор способа информирования осуществляется Застройщиком.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Все изменения и дополнения к настоящему договору являются его неотъемлемыми частями и должны быть оформлены в письменной форме, подписаны Сторонами и зарегистрированы в органах государственной регистрации.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Подписанием настоящего договора Участник долевого строительства 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 Участник долевого строительства дает согласие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получения информационных сообщений от Застройщика на указанный им номер мобильного телефона. 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применяются нормы законодательства Российской Федерации.</w:t>
      </w:r>
    </w:p>
    <w:p w:rsidR="00417CF1" w:rsidRDefault="00417CF1" w:rsidP="00417CF1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color w:val="000000" w:themeColor="text1"/>
          <w:spacing w:val="-3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Настоящий договор составлен в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двух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экземплярах, имеющих одинаковую юридическую силу, по одному экземпляру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для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каждой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из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Сторон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:rsidR="00417CF1" w:rsidRDefault="00417CF1" w:rsidP="00417CF1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spacing w:val="-3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spacing w:val="-3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РЕКВИЗИТЫ И ПОДПИСИ СТОРОН.</w:t>
      </w:r>
    </w:p>
    <w:p w:rsidR="00417CF1" w:rsidRDefault="00417CF1" w:rsidP="00417CF1">
      <w:pPr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Застройщик: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кционерное общество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«Специализированный застройщик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«Строительный трест №3»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428003, г. Чебоксары, ул. Ярославская, 76,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оф. 312,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тел.62-09-79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ИНН 2128007123,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КПП 213001001, ОГРН 1022101134978,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>40702810215960001891,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ФИЛИАЛ "ЦЕНТРАЛЬНЫЙ" БАНКА ВТБ (ПАО), к/сч. 30101810145250000411, БИК 044525411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23197D" w:rsidRDefault="00417CF1" w:rsidP="0023197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граждан</w:t>
      </w:r>
      <w:r w:rsidR="00231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ин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Российской Федерации </w:t>
      </w:r>
      <w:r w:rsidR="00231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Иванов Иван Иванович</w:t>
      </w:r>
      <w:r w:rsidR="0023197D" w:rsidRPr="00401B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23197D" w:rsidRDefault="0023197D" w:rsidP="0023197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Адрес:</w:t>
      </w:r>
      <w:r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Чувашская Республика, г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ор</w:t>
      </w:r>
      <w:r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. Чебоксары,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ул. Ленина</w:t>
      </w:r>
      <w:r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дом №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</w:t>
      </w:r>
      <w:r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квартира №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</w:t>
      </w:r>
    </w:p>
    <w:p w:rsidR="00417CF1" w:rsidRDefault="00417CF1" w:rsidP="0023197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Телефон: 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8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-000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-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-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</w:t>
      </w:r>
      <w:r w:rsidR="0023197D" w:rsidRPr="00401B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-</w:t>
      </w:r>
      <w:r w:rsidR="002319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00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bookmarkStart w:id="3" w:name="_GoBack"/>
      <w:bookmarkEnd w:id="3"/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Застройщик:                                                                    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:</w:t>
      </w: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</w:p>
    <w:p w:rsidR="00417CF1" w:rsidRDefault="00417CF1" w:rsidP="00417CF1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_______________________ В.П. Сем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ё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нов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ab/>
        <w:t xml:space="preserve">  </w:t>
      </w:r>
    </w:p>
    <w:p w:rsidR="00417CF1" w:rsidRDefault="00417CF1" w:rsidP="00417CF1"/>
    <w:sectPr w:rsidR="00417CF1" w:rsidSect="00BE46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C91A8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3488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C"/>
    <w:rsid w:val="00063C86"/>
    <w:rsid w:val="0023197D"/>
    <w:rsid w:val="00397A7E"/>
    <w:rsid w:val="00417CF1"/>
    <w:rsid w:val="00444017"/>
    <w:rsid w:val="00471C61"/>
    <w:rsid w:val="00492472"/>
    <w:rsid w:val="004C1179"/>
    <w:rsid w:val="00576BBC"/>
    <w:rsid w:val="006D3FD7"/>
    <w:rsid w:val="006F2527"/>
    <w:rsid w:val="009100FB"/>
    <w:rsid w:val="00A950C2"/>
    <w:rsid w:val="00B61727"/>
    <w:rsid w:val="00B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7;&#1077;&#1088;&#1075;&#1077;&#1081;\&#1048;&#1056;&#1048;&#1053;&#1040;%20&#1042;\&#1045;&#1083;&#1077;&#1085;&#1072;\&#1044;&#1054;&#1043;&#1054;&#1042;&#1054;&#1056;&#1040;%20&#1059;&#1063;&#1040;&#1057;&#1058;&#1048;&#1071;%20&#1042;%20&#1044;&#1054;&#1051;.&#1057;&#1058;&#1056;&#1054;&#1048;&#1058;&#1045;&#1051;&#1068;&#1057;&#1058;&#1042;&#1045;\&#1050;&#1086;&#1088;&#1086;&#1083;&#1077;&#1085;&#1082;&#1086;%20&#1087;&#1086;&#1079;.2\&#1090;&#1080;&#1087;&#1086;&#1074;&#1086;&#1081;%20&#1044;&#1044;&#105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&#1077;&#1088;&#1075;&#1077;&#1081;\&#1048;&#1056;&#1048;&#1053;&#1040;%20&#1042;\&#1045;&#1083;&#1077;&#1085;&#1072;\&#1044;&#1054;&#1043;&#1054;&#1042;&#1054;&#1056;&#1040;%20&#1059;&#1063;&#1040;&#1057;&#1058;&#1048;&#1071;%20&#1042;%20&#1044;&#1054;&#1051;.&#1057;&#1058;&#1056;&#1054;&#1048;&#1058;&#1045;&#1051;&#1068;&#1057;&#1058;&#1042;&#1045;\&#1050;&#1086;&#1088;&#1086;&#1083;&#1077;&#1085;&#1082;&#1086;%20&#1087;&#1086;&#1079;.2\&#1090;&#1080;&#1087;&#1086;&#1074;&#1086;&#1081;%20&#1044;&#1044;&#105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Света</cp:lastModifiedBy>
  <cp:revision>13</cp:revision>
  <dcterms:created xsi:type="dcterms:W3CDTF">2024-02-14T13:08:00Z</dcterms:created>
  <dcterms:modified xsi:type="dcterms:W3CDTF">2024-02-20T07:08:00Z</dcterms:modified>
</cp:coreProperties>
</file>