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F7A0" w14:textId="77777777" w:rsidR="00434FA4" w:rsidRDefault="006F5C33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417F97BB" w14:textId="77777777" w:rsidR="00434FA4" w:rsidRDefault="006F5C3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56ECBC45" w14:textId="77777777" w:rsidR="00434FA4" w:rsidRDefault="006F5C33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52FF8D04" w14:textId="77777777" w:rsidR="00434FA4" w:rsidRDefault="00434FA4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0D1A626" w14:textId="77777777" w:rsidR="00434FA4" w:rsidRDefault="006F5C3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«Кряж»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DFD585" w14:textId="77777777" w:rsidR="00434FA4" w:rsidRDefault="006F5C33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r>
        <w:rPr>
          <w:b/>
          <w:bCs/>
          <w:sz w:val="24"/>
          <w:szCs w:val="24"/>
          <w:highlight w:val="yellow"/>
        </w:rPr>
        <w:t>ФИО_полностью</w:t>
      </w:r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действующий(ая) самостоятельно от своего имени, с другой стороны,</w:t>
      </w:r>
    </w:p>
    <w:p w14:paraId="270F47BA" w14:textId="77777777" w:rsidR="00434FA4" w:rsidRDefault="006F5C33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103F8084" w14:textId="77777777" w:rsidR="00434FA4" w:rsidRDefault="006F5C33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6F32088A" w14:textId="0F9F7F8A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 объект капитального строительства: </w:t>
      </w:r>
      <w:r>
        <w:rPr>
          <w:b/>
          <w:bCs/>
          <w:sz w:val="24"/>
          <w:szCs w:val="24"/>
        </w:rPr>
        <w:t xml:space="preserve"> «Многофункциональная застройка в границах улиц: Заусадебная, Таганская, Центральная в Куйбышевском район городского округа Самара». 1 этап строительства» по адресу: Самарская область, г. Самара, Куйбышевский район, ул.Заусадебная, Таганская, Центральная»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(строительный адрес:  Жилой дом </w:t>
      </w:r>
      <w:r>
        <w:rPr>
          <w:b/>
          <w:iCs/>
          <w:sz w:val="24"/>
          <w:szCs w:val="24"/>
          <w:highlight w:val="yellow"/>
        </w:rPr>
        <w:t>№1/2/3/4</w:t>
      </w:r>
      <w:r>
        <w:rPr>
          <w:b/>
          <w:iCs/>
          <w:sz w:val="24"/>
          <w:szCs w:val="24"/>
        </w:rPr>
        <w:t xml:space="preserve"> расположенный по адресу: г. Самарская область, г. Самара, Куйбышевский район, ул. Заусадебная, Таганская, Центральная</w:t>
      </w:r>
      <w:r>
        <w:rPr>
          <w:b/>
          <w:bCs/>
          <w:sz w:val="24"/>
          <w:szCs w:val="24"/>
        </w:rPr>
        <w:t xml:space="preserve"> в Куйбышевском районе городского округа Самара</w:t>
      </w:r>
      <w:r>
        <w:rPr>
          <w:b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>, кадастровы</w:t>
      </w:r>
      <w:r w:rsidR="00E776C0">
        <w:rPr>
          <w:bCs/>
          <w:iCs/>
          <w:sz w:val="24"/>
          <w:szCs w:val="24"/>
        </w:rPr>
        <w:t>й</w:t>
      </w:r>
      <w:r>
        <w:rPr>
          <w:bCs/>
          <w:iCs/>
          <w:sz w:val="24"/>
          <w:szCs w:val="24"/>
        </w:rPr>
        <w:t xml:space="preserve"> номер  земельн</w:t>
      </w:r>
      <w:r w:rsidR="00E776C0">
        <w:rPr>
          <w:bCs/>
          <w:iCs/>
          <w:sz w:val="24"/>
          <w:szCs w:val="24"/>
        </w:rPr>
        <w:t>ого</w:t>
      </w:r>
      <w:r>
        <w:rPr>
          <w:bCs/>
          <w:iCs/>
          <w:sz w:val="24"/>
          <w:szCs w:val="24"/>
        </w:rPr>
        <w:t xml:space="preserve"> участк</w:t>
      </w:r>
      <w:r w:rsidR="00E776C0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выделенн</w:t>
      </w:r>
      <w:r w:rsidR="00E776C0">
        <w:rPr>
          <w:bCs/>
          <w:sz w:val="24"/>
          <w:szCs w:val="24"/>
        </w:rPr>
        <w:t>ого</w:t>
      </w:r>
      <w:r>
        <w:rPr>
          <w:bCs/>
          <w:sz w:val="24"/>
          <w:szCs w:val="24"/>
        </w:rPr>
        <w:t xml:space="preserve"> Застройщику для строительства: </w:t>
      </w:r>
      <w:r w:rsidR="00326593" w:rsidRPr="00F6434F">
        <w:rPr>
          <w:sz w:val="24"/>
          <w:szCs w:val="24"/>
        </w:rPr>
        <w:t>63:01:0407006:828</w:t>
      </w:r>
      <w:r w:rsidR="003265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 Далее по тексту Договора – «Жилой дом») и находящийся в его составе Объект долевого</w:t>
      </w:r>
      <w:r>
        <w:rPr>
          <w:sz w:val="24"/>
          <w:szCs w:val="24"/>
        </w:rPr>
        <w:t xml:space="preserve">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6D7E8600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 характеристики Жилого дома,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7"/>
        <w:gridCol w:w="5239"/>
      </w:tblGrid>
      <w:tr w:rsidR="00434FA4" w14:paraId="6F4858D6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F2F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82E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434FA4" w14:paraId="5961EF1E" w14:textId="77777777">
        <w:trPr>
          <w:trHeight w:val="29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F890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8AB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b/>
                <w:iCs/>
                <w:sz w:val="24"/>
                <w:szCs w:val="24"/>
                <w:highlight w:val="yellow"/>
              </w:rPr>
              <w:t>№1/2/3/4</w:t>
            </w:r>
          </w:p>
        </w:tc>
      </w:tr>
      <w:tr w:rsidR="00434FA4" w14:paraId="0B44171F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82E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DDD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</w:tr>
      <w:tr w:rsidR="00434FA4" w14:paraId="611BA172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BFF3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640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4FA4" w14:paraId="0833F78F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757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3825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b/>
                <w:iCs/>
                <w:sz w:val="24"/>
                <w:szCs w:val="24"/>
                <w:highlight w:val="yellow"/>
              </w:rPr>
              <w:t>№1</w:t>
            </w:r>
            <w:r>
              <w:rPr>
                <w:b/>
                <w:iCs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6 852,40 кв.м.</w:t>
            </w:r>
          </w:p>
          <w:p w14:paraId="6F7EC0E0" w14:textId="77777777" w:rsidR="00434FA4" w:rsidRDefault="006F5C33">
            <w:pPr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b/>
                <w:iCs/>
                <w:sz w:val="24"/>
                <w:szCs w:val="24"/>
                <w:highlight w:val="yellow"/>
              </w:rPr>
              <w:t>№2</w:t>
            </w:r>
            <w:r>
              <w:rPr>
                <w:b/>
                <w:iCs/>
                <w:sz w:val="24"/>
                <w:szCs w:val="24"/>
              </w:rPr>
              <w:t xml:space="preserve"> – </w:t>
            </w:r>
            <w:r>
              <w:rPr>
                <w:bCs/>
                <w:iCs/>
                <w:sz w:val="24"/>
                <w:szCs w:val="24"/>
              </w:rPr>
              <w:t>13 414,48 кв.м.</w:t>
            </w:r>
          </w:p>
          <w:p w14:paraId="6CBA3E9E" w14:textId="77777777" w:rsidR="00434FA4" w:rsidRDefault="006F5C33">
            <w:pPr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b/>
                <w:iCs/>
                <w:sz w:val="24"/>
                <w:szCs w:val="24"/>
                <w:highlight w:val="yellow"/>
              </w:rPr>
              <w:t>№3</w:t>
            </w:r>
            <w:r>
              <w:rPr>
                <w:b/>
                <w:iCs/>
                <w:sz w:val="24"/>
                <w:szCs w:val="24"/>
              </w:rPr>
              <w:t xml:space="preserve"> -  </w:t>
            </w:r>
            <w:r>
              <w:rPr>
                <w:color w:val="000000"/>
                <w:sz w:val="24"/>
                <w:szCs w:val="24"/>
              </w:rPr>
              <w:t>6 852,40 кв.м.</w:t>
            </w:r>
          </w:p>
          <w:p w14:paraId="40012D4F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b/>
                <w:iCs/>
                <w:sz w:val="24"/>
                <w:szCs w:val="24"/>
                <w:highlight w:val="yellow"/>
              </w:rPr>
              <w:t>№4</w:t>
            </w:r>
            <w:r>
              <w:rPr>
                <w:b/>
                <w:iCs/>
                <w:sz w:val="24"/>
                <w:szCs w:val="24"/>
              </w:rPr>
              <w:t xml:space="preserve"> – </w:t>
            </w:r>
            <w:r>
              <w:rPr>
                <w:bCs/>
                <w:iCs/>
                <w:sz w:val="24"/>
                <w:szCs w:val="24"/>
              </w:rPr>
              <w:t>20 059,05 кв.м.</w:t>
            </w:r>
          </w:p>
        </w:tc>
      </w:tr>
      <w:tr w:rsidR="00434FA4" w14:paraId="721CB5C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E3D8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A678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Бескаркасные со стенами из мелкоштучных каменных материалов (кирпич, керамические</w:t>
            </w:r>
          </w:p>
          <w:p w14:paraId="63D80AA1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камни, блоки и др.)</w:t>
            </w:r>
          </w:p>
        </w:tc>
      </w:tr>
      <w:tr w:rsidR="00434FA4" w14:paraId="157A2DE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837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1CD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железобетонные</w:t>
            </w:r>
          </w:p>
        </w:tc>
      </w:tr>
      <w:tr w:rsidR="00434FA4" w14:paraId="3C176FB4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885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энергосбережения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DB5E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«В»</w:t>
            </w:r>
          </w:p>
        </w:tc>
      </w:tr>
      <w:tr w:rsidR="00434FA4" w14:paraId="438F752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BF6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сейсмостойкости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A8D3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6</w:t>
            </w:r>
          </w:p>
        </w:tc>
      </w:tr>
    </w:tbl>
    <w:p w14:paraId="718F26F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57"/>
        <w:gridCol w:w="1107"/>
        <w:gridCol w:w="631"/>
        <w:gridCol w:w="1550"/>
        <w:gridCol w:w="2446"/>
        <w:gridCol w:w="2338"/>
      </w:tblGrid>
      <w:tr w:rsidR="00434FA4" w14:paraId="6AAB4473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0051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квартиры (строитель </w:t>
            </w:r>
            <w:r>
              <w:rPr>
                <w:sz w:val="24"/>
                <w:szCs w:val="24"/>
              </w:rPr>
              <w:lastRenderedPageBreak/>
              <w:t>ный)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DF98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комнат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9E97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CE90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  <w:r>
              <w:rPr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3DA1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</w:p>
          <w:p w14:paraId="615F4917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приведённая </w:t>
            </w:r>
            <w:r>
              <w:rPr>
                <w:sz w:val="24"/>
                <w:szCs w:val="24"/>
              </w:rPr>
              <w:lastRenderedPageBreak/>
              <w:t xml:space="preserve">площадь, </w:t>
            </w:r>
          </w:p>
          <w:p w14:paraId="1F83DE16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площади балкона(ов) с коэффициентом 0,3 и площади лоджии(ий) с коэффициентом 0,5, кв.м.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A698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площадь, согласно проектной </w:t>
            </w:r>
            <w:r>
              <w:rPr>
                <w:sz w:val="24"/>
                <w:szCs w:val="24"/>
              </w:rPr>
              <w:lastRenderedPageBreak/>
              <w:t>декларации, с коэффициентом 1 для площади лоджий и балконов, кв.м.</w:t>
            </w:r>
          </w:p>
          <w:p w14:paraId="0B62DC54" w14:textId="77777777" w:rsidR="00434FA4" w:rsidRDefault="00434F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34FA4" w14:paraId="33765B67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E9FC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НОМЕР_КВАРТИРЫ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4C33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30B3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348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A19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8BDC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5E9D483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2E88953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Жилого дома на основании обмеров, проведенных квалифицированным кадастровым инженером при подготовке технического плана Жилого дома для последующего ввода объекта капитального строительства в эксплуатацию (далее – «Окончательная площадь Объекта»). </w:t>
      </w:r>
    </w:p>
    <w:p w14:paraId="3DE90E18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Окончательной площади Объекта вносятся Уполномоченным органом в Единый государственный реестр недвижимости, при вводе Жилого дома в эксплуатацию и постановки на кадастровый учёт Жилого дома.</w:t>
      </w:r>
    </w:p>
    <w:p w14:paraId="30CE7980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7C17E19D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3B37342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Жилого дома и нумерация помещений указаны строительные. Возможно их изменение уполномоченными органами при сдаче Жилого дома в эксплуатацию, постановке на технический учет и присвоении Жилому дому почтового адреса.</w:t>
      </w:r>
    </w:p>
    <w:p w14:paraId="4FD7A5A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1EFA3B47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цементная стяжка под конструкцию пола;</w:t>
      </w:r>
    </w:p>
    <w:p w14:paraId="00C0DD33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входная дверь в квартиру согласно проекту;</w:t>
      </w:r>
    </w:p>
    <w:p w14:paraId="01F2AF2B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установка оконных блоков и дверей на лоджию из поливинилхлоридных / алюминиевых профилей;</w:t>
      </w:r>
    </w:p>
    <w:p w14:paraId="5636BC98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 xml:space="preserve">остекление лоджий и балконов согласно проекту; </w:t>
      </w:r>
    </w:p>
    <w:p w14:paraId="0CEDEC7F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1E968421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монтаж системы отопления согласно проекту;</w:t>
      </w:r>
    </w:p>
    <w:p w14:paraId="0F579E1D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электроснабжение без разводки по квартире, вводное устройство в квартиру согласно проекту.</w:t>
      </w:r>
    </w:p>
    <w:p w14:paraId="2F5973E3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установка приборов учета.</w:t>
      </w:r>
    </w:p>
    <w:p w14:paraId="15BF8B88" w14:textId="77777777" w:rsidR="00434FA4" w:rsidRDefault="006F5C33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Объекта долевого строительства, отображающий в графической форме расположение по отношению друг к другу частей Объекта, местоположение Объекта на этаже Жилого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</w:t>
      </w:r>
      <w:r>
        <w:rPr>
          <w:sz w:val="24"/>
          <w:szCs w:val="24"/>
        </w:rPr>
        <w:lastRenderedPageBreak/>
        <w:t xml:space="preserve">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https://наш.дом.рф. </w:t>
      </w:r>
    </w:p>
    <w:p w14:paraId="70589F7E" w14:textId="1D81535A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Жилого дома </w:t>
      </w:r>
      <w:r>
        <w:rPr>
          <w:b/>
          <w:bCs/>
          <w:sz w:val="24"/>
          <w:szCs w:val="24"/>
        </w:rPr>
        <w:t xml:space="preserve">не позднее </w:t>
      </w:r>
      <w:r w:rsidRPr="006F5C33">
        <w:rPr>
          <w:b/>
          <w:bCs/>
          <w:sz w:val="24"/>
          <w:szCs w:val="24"/>
        </w:rPr>
        <w:t xml:space="preserve"> 30 июня 2025 года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досрочно исполнить свои обязательства по сдаче Жилого дома в эксплуатацию и передаче </w:t>
      </w:r>
      <w:r>
        <w:rPr>
          <w:b/>
          <w:sz w:val="24"/>
          <w:szCs w:val="24"/>
        </w:rPr>
        <w:t>Объекта Участнику долевого строительства</w:t>
      </w:r>
      <w:r>
        <w:rPr>
          <w:sz w:val="24"/>
          <w:szCs w:val="24"/>
        </w:rPr>
        <w:t>.</w:t>
      </w:r>
    </w:p>
    <w:p w14:paraId="12EBA2BB" w14:textId="57E79262" w:rsidR="00434FA4" w:rsidRDefault="006F5C33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Срок передачи Объекта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не позднее </w:t>
      </w:r>
      <w:r w:rsidR="007E6A7A" w:rsidRPr="007E6A7A">
        <w:rPr>
          <w:b/>
          <w:bCs/>
          <w:sz w:val="24"/>
          <w:szCs w:val="24"/>
        </w:rPr>
        <w:t xml:space="preserve">31 декабря 2025 года </w:t>
      </w:r>
      <w:r>
        <w:rPr>
          <w:sz w:val="24"/>
          <w:szCs w:val="24"/>
        </w:rPr>
        <w:t xml:space="preserve">в установленном действующем законодательством порядке. </w:t>
      </w:r>
    </w:p>
    <w:p w14:paraId="74CEA072" w14:textId="77777777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35EE1E51" w14:textId="77777777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0B0DC84B" w14:textId="77777777" w:rsidR="00434FA4" w:rsidRDefault="006F5C33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2AC9A7EF" w14:textId="77777777" w:rsidR="00434FA4" w:rsidRDefault="006F5C3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приведённой площади Объекта, и соответствующей общей приведённой 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04"/>
        <w:gridCol w:w="3628"/>
        <w:gridCol w:w="1721"/>
        <w:gridCol w:w="2176"/>
      </w:tblGrid>
      <w:tr w:rsidR="00434FA4" w14:paraId="1588EAF9" w14:textId="7777777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48A1" w14:textId="77777777" w:rsidR="00434FA4" w:rsidRDefault="006F5C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02EF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556C5860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приведённая площадь, </w:t>
            </w:r>
          </w:p>
          <w:p w14:paraId="388734A4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площади балкона (ов) с коэффициентом 0,3 и площади лоджии(ий) с коэффициентом 0,5, кв.м.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4248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кв.м. общей приведённой площади квартиры, с учетом площади балконов с коэффициентом 0,3 и/или площади лоджий с коэффициентом 0,5 кв.м., рублей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A1AC" w14:textId="77777777" w:rsidR="00434FA4" w:rsidRDefault="006F5C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434FA4" w14:paraId="6853AA5A" w14:textId="7777777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21BC" w14:textId="77777777" w:rsidR="00434FA4" w:rsidRDefault="006F5C3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FA86" w14:textId="77777777" w:rsidR="00434FA4" w:rsidRDefault="006F5C3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9642" w14:textId="77777777" w:rsidR="00434FA4" w:rsidRDefault="006F5C3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48EE" w14:textId="77777777" w:rsidR="00434FA4" w:rsidRDefault="006F5C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6CBB1B01" w14:textId="77777777" w:rsidR="00434FA4" w:rsidRDefault="00434FA4">
      <w:pPr>
        <w:jc w:val="both"/>
        <w:rPr>
          <w:sz w:val="24"/>
          <w:szCs w:val="24"/>
        </w:rPr>
      </w:pPr>
    </w:p>
    <w:p w14:paraId="6107ED2C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Стороны пришли к соглашению о том, что указанная в п. 2.1. Договора, Цена подлежит изменению в случае изменения Окончательной площади Объекта по отношению к Проектной площади Объекта. В случае отклонения Окончательной площади Объекта от Проектной площади Объекта как в сторону увеличения, так и в сторону уменьшения, сумма доплаты/возврата определяется исходя из произведения разницы Окончательной площади </w:t>
      </w:r>
      <w:r>
        <w:rPr>
          <w:sz w:val="24"/>
          <w:szCs w:val="24"/>
        </w:rPr>
        <w:lastRenderedPageBreak/>
        <w:t>Объекта и Проектной площади Объекта (п.1.2. Договора) на цену одного квадратного метра, указанной в п. 2.1 Договора.</w:t>
      </w:r>
    </w:p>
    <w:p w14:paraId="08229BE9" w14:textId="77777777" w:rsidR="00434FA4" w:rsidRPr="00F6434F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</w:t>
      </w:r>
      <w:r w:rsidRPr="00F6434F">
        <w:rPr>
          <w:sz w:val="24"/>
          <w:szCs w:val="24"/>
        </w:rPr>
        <w:t xml:space="preserve">письменного уведомления </w:t>
      </w:r>
      <w:r w:rsidRPr="00F6434F">
        <w:rPr>
          <w:b/>
          <w:bCs/>
          <w:sz w:val="24"/>
          <w:szCs w:val="24"/>
        </w:rPr>
        <w:t>Застройщика</w:t>
      </w:r>
      <w:r w:rsidRPr="00F6434F">
        <w:rPr>
          <w:sz w:val="24"/>
          <w:szCs w:val="24"/>
        </w:rPr>
        <w:t xml:space="preserve"> о данных обмеров Окончательной площади Объекта, но не позднее подписания Акта приема-передачи Объекта.</w:t>
      </w:r>
    </w:p>
    <w:p w14:paraId="32C3F4D7" w14:textId="6A496812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2.2.2. В случае уменьшения Окончательной площади Объекта по отношению к Проектной площади Объекта, образовавшуюся разницу </w:t>
      </w:r>
      <w:r w:rsidRPr="00F6434F">
        <w:rPr>
          <w:b/>
          <w:bCs/>
          <w:sz w:val="24"/>
          <w:szCs w:val="24"/>
        </w:rPr>
        <w:t>Застройщик</w:t>
      </w:r>
      <w:r w:rsidRPr="00F6434F">
        <w:rPr>
          <w:sz w:val="24"/>
          <w:szCs w:val="24"/>
        </w:rPr>
        <w:t xml:space="preserve"> возвращает </w:t>
      </w:r>
      <w:r w:rsidRPr="00F6434F">
        <w:rPr>
          <w:b/>
          <w:bCs/>
          <w:sz w:val="24"/>
          <w:szCs w:val="24"/>
        </w:rPr>
        <w:t>Участнику долевого строительства</w:t>
      </w:r>
      <w:r w:rsidRPr="00F6434F">
        <w:rPr>
          <w:sz w:val="24"/>
          <w:szCs w:val="24"/>
        </w:rPr>
        <w:t xml:space="preserve"> в течение </w:t>
      </w:r>
      <w:r w:rsidR="000276D7" w:rsidRPr="00F6434F">
        <w:rPr>
          <w:sz w:val="24"/>
          <w:szCs w:val="24"/>
        </w:rPr>
        <w:t>1</w:t>
      </w:r>
      <w:r w:rsidRPr="00F6434F">
        <w:rPr>
          <w:sz w:val="24"/>
          <w:szCs w:val="24"/>
        </w:rPr>
        <w:t>0 (</w:t>
      </w:r>
      <w:r w:rsidR="000276D7" w:rsidRPr="00F6434F">
        <w:rPr>
          <w:sz w:val="24"/>
          <w:szCs w:val="24"/>
        </w:rPr>
        <w:t>Десяти</w:t>
      </w:r>
      <w:r w:rsidRPr="00F6434F">
        <w:rPr>
          <w:sz w:val="24"/>
          <w:szCs w:val="24"/>
        </w:rPr>
        <w:t xml:space="preserve">) календарных дней после подписания Акта приема-передачи Объекта и предоставления </w:t>
      </w:r>
      <w:r w:rsidRPr="00F6434F">
        <w:rPr>
          <w:b/>
          <w:bCs/>
          <w:sz w:val="24"/>
          <w:szCs w:val="24"/>
        </w:rPr>
        <w:t>Участником</w:t>
      </w:r>
      <w:r w:rsidRPr="00F6434F"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2294A29D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2.3. </w:t>
      </w:r>
      <w:r w:rsidRPr="00F6434F">
        <w:rPr>
          <w:sz w:val="24"/>
          <w:szCs w:val="24"/>
          <w:u w:val="single"/>
        </w:rPr>
        <w:t>Цена Договора, уточненная в порядке п. 2.2.</w:t>
      </w:r>
      <w:r w:rsidRPr="00F6434F"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 w:rsidRPr="00F6434F">
        <w:rPr>
          <w:b/>
          <w:bCs/>
          <w:sz w:val="24"/>
          <w:szCs w:val="24"/>
        </w:rPr>
        <w:t>Участника долевого строительства</w:t>
      </w:r>
      <w:r w:rsidRPr="00F6434F">
        <w:rPr>
          <w:sz w:val="24"/>
          <w:szCs w:val="24"/>
        </w:rPr>
        <w:t>.</w:t>
      </w:r>
    </w:p>
    <w:p w14:paraId="3B2F37F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1D825A1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ПАО «Промсвязьбанк» 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Жилого дома, в целях их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ФЗ от 30.12.2014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эскроу, заключенным между Бенефициаром, Депоненом и Эскроу-агентом с учетом следующего:</w:t>
      </w:r>
    </w:p>
    <w:p w14:paraId="2CC70504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Эскроу-агент – Публичное акционерное общество «ПРОМСВЯЗЬБАНК» (ПАО «Промсвязьбанк») ИНН 7744000912, БИК 044525555, корр. счет: 30101810400000000555; адрес места нахождения: Российская Федерация 109052, г. Москва, ул. Смирновская, д. 10, стр. 22, адрес электронной почты: escrow@psbank.ru, номер телефона 8(495) 787-33-33</w:t>
      </w:r>
    </w:p>
    <w:p w14:paraId="6A182A11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ФИО_полностью</w:t>
      </w:r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3C12B02F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«Кряж», ИНН 6312211449, ОГРН 1226300005205.</w:t>
      </w:r>
    </w:p>
    <w:p w14:paraId="33FDC50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97C821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2897C9C8" w14:textId="10DF59A8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условного депонирования денежных средств на счёте эскроу: </w:t>
      </w:r>
      <w:r w:rsidRPr="007E6A7A">
        <w:rPr>
          <w:b/>
          <w:bCs/>
          <w:sz w:val="24"/>
          <w:szCs w:val="24"/>
        </w:rPr>
        <w:t xml:space="preserve">до  </w:t>
      </w:r>
      <w:r w:rsidR="007E6A7A" w:rsidRPr="007E6A7A">
        <w:rPr>
          <w:b/>
          <w:bCs/>
          <w:sz w:val="24"/>
          <w:szCs w:val="24"/>
        </w:rPr>
        <w:t>31 декабря</w:t>
      </w:r>
      <w:r w:rsidRPr="007E6A7A">
        <w:rPr>
          <w:b/>
          <w:bCs/>
          <w:sz w:val="24"/>
          <w:szCs w:val="24"/>
        </w:rPr>
        <w:t xml:space="preserve"> 202</w:t>
      </w:r>
      <w:r w:rsidR="007E6A7A" w:rsidRPr="007E6A7A">
        <w:rPr>
          <w:b/>
          <w:bCs/>
          <w:sz w:val="24"/>
          <w:szCs w:val="24"/>
        </w:rPr>
        <w:t>5</w:t>
      </w:r>
      <w:r w:rsidRPr="007E6A7A">
        <w:rPr>
          <w:b/>
          <w:bCs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(включительно).</w:t>
      </w:r>
    </w:p>
    <w:p w14:paraId="6224C92F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В случае досрочного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Жилого дома и в случае если Участником долевого строительства  не внесены на указанную дату денежные средства в полном объёме на депонируемый эскроу счёт, оплата цены договора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 реквизитам, указанным в счёте на оплату.</w:t>
      </w:r>
    </w:p>
    <w:p w14:paraId="3846ED83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12817A" w14:textId="77777777" w:rsidR="00434FA4" w:rsidRPr="000276D7" w:rsidRDefault="006F5C33">
      <w:pPr>
        <w:jc w:val="both"/>
        <w:rPr>
          <w:b/>
          <w:bCs/>
          <w:sz w:val="24"/>
          <w:szCs w:val="24"/>
        </w:rPr>
      </w:pPr>
      <w:r w:rsidRPr="000276D7">
        <w:rPr>
          <w:b/>
          <w:bCs/>
          <w:sz w:val="24"/>
          <w:szCs w:val="24"/>
        </w:rPr>
        <w:t>3.1. Застройщик принимает на себя следующие обязательства:</w:t>
      </w:r>
    </w:p>
    <w:p w14:paraId="24FDD25B" w14:textId="1220F69C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lastRenderedPageBreak/>
        <w:t xml:space="preserve">3.1.1. </w:t>
      </w:r>
      <w:r w:rsidR="000276D7" w:rsidRPr="00F6434F">
        <w:rPr>
          <w:b/>
          <w:bCs/>
          <w:sz w:val="24"/>
          <w:szCs w:val="24"/>
        </w:rPr>
        <w:t xml:space="preserve">Застройщик </w:t>
      </w:r>
      <w:r w:rsidR="000276D7" w:rsidRPr="00F6434F">
        <w:rPr>
          <w:sz w:val="24"/>
          <w:szCs w:val="24"/>
        </w:rPr>
        <w:t xml:space="preserve">обязуется совместно с </w:t>
      </w:r>
      <w:r w:rsidR="000276D7" w:rsidRPr="00F6434F">
        <w:rPr>
          <w:b/>
          <w:bCs/>
          <w:sz w:val="24"/>
          <w:szCs w:val="24"/>
        </w:rPr>
        <w:t xml:space="preserve">Участником долевого строительства </w:t>
      </w:r>
      <w:r w:rsidR="000276D7" w:rsidRPr="00F6434F">
        <w:rPr>
          <w:sz w:val="24"/>
          <w:szCs w:val="24"/>
        </w:rPr>
        <w:t>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387BA6E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sz w:val="24"/>
          <w:szCs w:val="24"/>
        </w:rPr>
        <w:t xml:space="preserve"> по настоящему договору.</w:t>
      </w:r>
    </w:p>
    <w:p w14:paraId="7ABECE72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Обеспечить строительство Жилого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0502E62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5B4407A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Жилого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5BE6BFA6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3E533AA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19FE732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194B8D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1842536" w14:textId="77777777" w:rsidR="00434FA4" w:rsidRPr="000276D7" w:rsidRDefault="006F5C33">
      <w:pPr>
        <w:jc w:val="both"/>
        <w:rPr>
          <w:b/>
          <w:bCs/>
          <w:sz w:val="24"/>
          <w:szCs w:val="24"/>
        </w:rPr>
      </w:pPr>
      <w:r w:rsidRPr="000276D7">
        <w:rPr>
          <w:b/>
          <w:bCs/>
          <w:sz w:val="24"/>
          <w:szCs w:val="24"/>
        </w:rPr>
        <w:t>3.3. Участник долевого строительства принимает на себя следующие обязательства:</w:t>
      </w:r>
    </w:p>
    <w:p w14:paraId="7DEE1D10" w14:textId="77777777" w:rsidR="000276D7" w:rsidRPr="00F6434F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</w:t>
      </w:r>
      <w:r w:rsidRPr="00F6434F">
        <w:rPr>
          <w:sz w:val="24"/>
          <w:szCs w:val="24"/>
        </w:rPr>
        <w:t>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62360673" w14:textId="56855CCD" w:rsidR="000276D7" w:rsidRPr="00F6434F" w:rsidRDefault="000276D7" w:rsidP="000276D7">
      <w:pPr>
        <w:ind w:firstLine="709"/>
        <w:jc w:val="both"/>
        <w:rPr>
          <w:sz w:val="24"/>
          <w:szCs w:val="24"/>
        </w:rPr>
      </w:pPr>
      <w:r w:rsidRPr="00F6434F">
        <w:rPr>
          <w:sz w:val="24"/>
          <w:szCs w:val="24"/>
        </w:rPr>
        <w:t>В случае, если Участник долевого строительства в течение 10 (Десяти) дней с момента его подписания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договора, настоящий договор будет считаться незаключенным и не связывающим Застройщика какими-либо обязательствами. При наступлении указанных обстоятельств Застройщик вправе заключить договор на указанную в настоящем договоре квартиру с третьим лицом.</w:t>
      </w:r>
    </w:p>
    <w:p w14:paraId="3B3E1566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57C7ADB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22602025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3.3.4. Принять Объект по акту приема-передачи в срок, указанный </w:t>
      </w:r>
      <w:r w:rsidRPr="00F6434F">
        <w:rPr>
          <w:b/>
          <w:sz w:val="24"/>
          <w:szCs w:val="24"/>
        </w:rPr>
        <w:t>Застройщиком</w:t>
      </w:r>
      <w:r w:rsidRPr="00F6434F"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CBDFD09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7FA13B0D" w14:textId="5F32767B" w:rsidR="00434FA4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3.3.6.</w:t>
      </w:r>
      <w:r w:rsidR="00657732" w:rsidRPr="00F6434F">
        <w:rPr>
          <w:sz w:val="24"/>
          <w:szCs w:val="24"/>
        </w:rPr>
        <w:t xml:space="preserve"> До момента государственной регистрации права собственности</w:t>
      </w:r>
      <w:r w:rsidR="00605079" w:rsidRPr="00F6434F">
        <w:rPr>
          <w:sz w:val="24"/>
          <w:szCs w:val="24"/>
        </w:rPr>
        <w:t xml:space="preserve"> на Объект</w:t>
      </w:r>
      <w:r w:rsidR="00657732" w:rsidRPr="00F6434F">
        <w:rPr>
          <w:sz w:val="24"/>
          <w:szCs w:val="24"/>
        </w:rPr>
        <w:t xml:space="preserve"> н</w:t>
      </w:r>
      <w:r w:rsidRPr="00F6434F">
        <w:rPr>
          <w:sz w:val="24"/>
          <w:szCs w:val="24"/>
        </w:rPr>
        <w:t>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</w:t>
      </w:r>
      <w:r w:rsidR="00657732" w:rsidRPr="00F6434F">
        <w:rPr>
          <w:sz w:val="24"/>
          <w:szCs w:val="24"/>
        </w:rPr>
        <w:t xml:space="preserve">, а также иных </w:t>
      </w:r>
      <w:r w:rsidR="00605079" w:rsidRPr="00F6434F">
        <w:rPr>
          <w:sz w:val="24"/>
          <w:szCs w:val="24"/>
        </w:rPr>
        <w:t>работ, затрагивающих</w:t>
      </w:r>
      <w:r w:rsidR="00657732" w:rsidRPr="00F6434F">
        <w:rPr>
          <w:sz w:val="24"/>
          <w:szCs w:val="24"/>
        </w:rPr>
        <w:t xml:space="preserve"> внешний вид и конструкцию фасада дома</w:t>
      </w:r>
      <w:r w:rsidRPr="00F6434F">
        <w:rPr>
          <w:sz w:val="24"/>
          <w:szCs w:val="24"/>
        </w:rPr>
        <w:t xml:space="preserve">) без письменного разрешения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</w:t>
      </w:r>
      <w:r>
        <w:rPr>
          <w:sz w:val="24"/>
          <w:szCs w:val="24"/>
        </w:rPr>
        <w:t xml:space="preserve">установленном Жилищным законодательством РФ. </w:t>
      </w:r>
    </w:p>
    <w:p w14:paraId="67635A6E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Жилой дом. </w:t>
      </w:r>
    </w:p>
    <w:p w14:paraId="69911FC6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Жилого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</w:t>
      </w:r>
      <w:r>
        <w:rPr>
          <w:sz w:val="24"/>
          <w:szCs w:val="24"/>
        </w:rPr>
        <w:lastRenderedPageBreak/>
        <w:t xml:space="preserve">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Жилого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7F7CEBC2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Жилого дома с управляющей компанией, выбранной в соответствии с нормами права, установленными ст. 161 ЖК РФ.</w:t>
      </w:r>
    </w:p>
    <w:p w14:paraId="766D62D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земельного участка, указанного в п. 1.1 настоящего договора, путем его разделения, объединения, перераспределения или выделения.</w:t>
      </w:r>
    </w:p>
    <w:p w14:paraId="5D75CB90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0B0F3E1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2CDA59C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065746C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5D436330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в срок, указанный в сообщении.</w:t>
      </w:r>
    </w:p>
    <w:p w14:paraId="7D40FDED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договором для передачи объектов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объекта долевого строительства.</w:t>
      </w:r>
    </w:p>
    <w:p w14:paraId="415A76F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692C3F6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0774933B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E40F04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3C4E0C29" w14:textId="77777777" w:rsidR="00434FA4" w:rsidRDefault="006F5C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</w:t>
      </w:r>
      <w:r>
        <w:rPr>
          <w:sz w:val="24"/>
          <w:szCs w:val="24"/>
        </w:rPr>
        <w:lastRenderedPageBreak/>
        <w:t xml:space="preserve">положениями части 2 статьи 7 Федерального закона от 30 декабря 2004 г. №214-ФЗ  и потребовать от </w:t>
      </w:r>
      <w:r>
        <w:rPr>
          <w:b/>
          <w:sz w:val="24"/>
          <w:szCs w:val="24"/>
        </w:rPr>
        <w:t>Застройщика:</w:t>
      </w:r>
    </w:p>
    <w:p w14:paraId="19356839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30EC18B1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C7C0ACD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6DB745C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2AFC749A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акта.</w:t>
      </w:r>
    </w:p>
    <w:p w14:paraId="3212104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7A07A046" w14:textId="77777777" w:rsidR="00434FA4" w:rsidRDefault="006F5C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19CA2E1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4121588C" w14:textId="77777777" w:rsidR="00434FA4" w:rsidRDefault="006F5C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74EBF4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630D37D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0D2461FE" w14:textId="77777777" w:rsidR="00434FA4" w:rsidRDefault="006F5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7CFFECD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116EDAC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4CC227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6531A15" w14:textId="77777777" w:rsidR="00434FA4" w:rsidRPr="00C349D6" w:rsidRDefault="006F5C33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</w:t>
      </w:r>
      <w:r w:rsidRPr="00C349D6">
        <w:rPr>
          <w:sz w:val="24"/>
          <w:szCs w:val="24"/>
        </w:rPr>
        <w:t>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2770C117" w14:textId="733C5B29" w:rsidR="00E776C0" w:rsidRPr="00C349D6" w:rsidRDefault="00E776C0">
      <w:pPr>
        <w:ind w:firstLine="708"/>
        <w:jc w:val="both"/>
        <w:rPr>
          <w:sz w:val="24"/>
          <w:szCs w:val="24"/>
        </w:rPr>
      </w:pPr>
      <w:r w:rsidRPr="00C349D6">
        <w:rPr>
          <w:b/>
          <w:bCs/>
          <w:sz w:val="24"/>
          <w:szCs w:val="24"/>
        </w:rPr>
        <w:t>Участник долевого строительства</w:t>
      </w:r>
      <w:r w:rsidRPr="00C349D6">
        <w:rPr>
          <w:sz w:val="24"/>
          <w:szCs w:val="24"/>
        </w:rPr>
        <w:t xml:space="preserve"> в обязательном порядке обязан </w:t>
      </w:r>
      <w:r w:rsidR="00464E19" w:rsidRPr="00C349D6">
        <w:rPr>
          <w:sz w:val="24"/>
          <w:szCs w:val="24"/>
        </w:rPr>
        <w:t xml:space="preserve">письменно </w:t>
      </w:r>
      <w:r w:rsidRPr="00C349D6">
        <w:rPr>
          <w:sz w:val="24"/>
          <w:szCs w:val="24"/>
        </w:rPr>
        <w:t>уведомить Правопреемника в Договоре уступки о необходимости переоформления договора счёта эскроу</w:t>
      </w:r>
      <w:r w:rsidR="00464E19" w:rsidRPr="00C349D6">
        <w:rPr>
          <w:sz w:val="24"/>
          <w:szCs w:val="24"/>
        </w:rPr>
        <w:t xml:space="preserve"> открытый Участником долевого строительства в ПАО «Промсвязьбанк» (Эскроу-агент) в соответствии с п. 2.5 настоящего Договора, в целях переоформления владельца  счёта эскроу на </w:t>
      </w:r>
      <w:r w:rsidR="00464E19" w:rsidRPr="00C349D6">
        <w:rPr>
          <w:b/>
          <w:bCs/>
          <w:sz w:val="24"/>
          <w:szCs w:val="24"/>
        </w:rPr>
        <w:t>Правопреемника</w:t>
      </w:r>
      <w:r w:rsidR="00464E19" w:rsidRPr="00C349D6">
        <w:rPr>
          <w:sz w:val="24"/>
          <w:szCs w:val="24"/>
        </w:rPr>
        <w:t>.</w:t>
      </w:r>
    </w:p>
    <w:p w14:paraId="3D1C4BDB" w14:textId="77777777" w:rsidR="00434FA4" w:rsidRDefault="006F5C33">
      <w:pPr>
        <w:jc w:val="both"/>
        <w:rPr>
          <w:sz w:val="24"/>
          <w:szCs w:val="24"/>
        </w:rPr>
      </w:pPr>
      <w:r w:rsidRPr="00C349D6"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 w:rsidRPr="00C349D6">
        <w:rPr>
          <w:b/>
          <w:bCs/>
          <w:sz w:val="24"/>
          <w:szCs w:val="24"/>
        </w:rPr>
        <w:t>Участник долевого строительства</w:t>
      </w:r>
      <w:r w:rsidRPr="00C349D6">
        <w:rPr>
          <w:sz w:val="24"/>
          <w:szCs w:val="24"/>
        </w:rPr>
        <w:t xml:space="preserve">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</w:t>
      </w:r>
      <w:r>
        <w:rPr>
          <w:sz w:val="24"/>
          <w:szCs w:val="24"/>
        </w:rPr>
        <w:t xml:space="preserve"> Федерации, только при условии письменного согласования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такой уступки.</w:t>
      </w:r>
    </w:p>
    <w:p w14:paraId="0196DB3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136396FC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6EA3ED2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74C72A53" w14:textId="71BA1F52" w:rsidR="00434FA4" w:rsidRPr="00F6434F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2</w:t>
      </w:r>
      <w:r w:rsidRPr="00F6434F"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17AF9D74" w14:textId="056F49CA" w:rsidR="00434FA4" w:rsidRPr="00F6434F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3</w:t>
      </w:r>
      <w:r w:rsidRPr="00F6434F"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73822D0" w14:textId="413237D3" w:rsidR="00434FA4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4</w:t>
      </w:r>
      <w:r w:rsidRPr="00F6434F">
        <w:rPr>
          <w:bCs/>
          <w:sz w:val="24"/>
          <w:szCs w:val="24"/>
        </w:rPr>
        <w:t xml:space="preserve">. При наступлении оснований для возврата </w:t>
      </w:r>
      <w:r w:rsidRPr="00F6434F">
        <w:rPr>
          <w:b/>
          <w:sz w:val="24"/>
          <w:szCs w:val="24"/>
        </w:rPr>
        <w:t>Участнику долевого строительства</w:t>
      </w:r>
      <w:r w:rsidRPr="00F6434F">
        <w:rPr>
          <w:bCs/>
          <w:sz w:val="24"/>
          <w:szCs w:val="24"/>
        </w:rPr>
        <w:t xml:space="preserve"> денежных </w:t>
      </w:r>
      <w:r>
        <w:rPr>
          <w:bCs/>
          <w:sz w:val="24"/>
          <w:szCs w:val="24"/>
        </w:rPr>
        <w:t xml:space="preserve">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4F9C5DD4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3CC866CE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6F1CD00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3F65FC5B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68EF81D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75D14E3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СМС-сообщений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79B1AFF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</w:t>
      </w:r>
    </w:p>
    <w:p w14:paraId="30B7EAC0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AB589C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0" w:name="_Hlk120549061"/>
      <w:bookmarkEnd w:id="0"/>
    </w:p>
    <w:p w14:paraId="4172D8A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6DEE5E3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6CA0BB1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6D3574C8" w14:textId="77777777" w:rsidR="00434FA4" w:rsidRDefault="00434FA4">
      <w:pPr>
        <w:jc w:val="both"/>
        <w:rPr>
          <w:sz w:val="24"/>
          <w:szCs w:val="24"/>
        </w:rPr>
      </w:pPr>
    </w:p>
    <w:p w14:paraId="36CE155E" w14:textId="77777777" w:rsidR="00434FA4" w:rsidRDefault="006F5C33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1B16829B" w14:textId="77777777" w:rsidR="00434FA4" w:rsidRDefault="006F5C3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2C8AC183" w14:textId="7A147196" w:rsidR="00434FA4" w:rsidRPr="00F6434F" w:rsidRDefault="006F5C33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Земельный участок, кадастровый номер: </w:t>
      </w:r>
      <w:r w:rsidR="00BE021A" w:rsidRPr="00F6434F">
        <w:rPr>
          <w:sz w:val="24"/>
          <w:szCs w:val="24"/>
        </w:rPr>
        <w:t>63:01:0407006:828</w:t>
      </w:r>
      <w:r w:rsidRPr="00F6434F">
        <w:rPr>
          <w:sz w:val="24"/>
          <w:szCs w:val="24"/>
        </w:rPr>
        <w:t xml:space="preserve">, принадлежит Застройщику на праве собственности, что подтверждается записью в едином государственном реестре недвижимости № </w:t>
      </w:r>
      <w:r w:rsidR="00BE021A" w:rsidRPr="00F6434F">
        <w:rPr>
          <w:sz w:val="24"/>
          <w:szCs w:val="24"/>
        </w:rPr>
        <w:t xml:space="preserve">63:01:0407006:828-63/466/2024-1 </w:t>
      </w:r>
      <w:r w:rsidRPr="00F6434F">
        <w:rPr>
          <w:sz w:val="24"/>
          <w:szCs w:val="24"/>
        </w:rPr>
        <w:t>от 1</w:t>
      </w:r>
      <w:r w:rsidR="00BE021A" w:rsidRPr="00F6434F">
        <w:rPr>
          <w:sz w:val="24"/>
          <w:szCs w:val="24"/>
        </w:rPr>
        <w:t>6</w:t>
      </w:r>
      <w:r w:rsidRPr="00F6434F">
        <w:rPr>
          <w:sz w:val="24"/>
          <w:szCs w:val="24"/>
        </w:rPr>
        <w:t>.0</w:t>
      </w:r>
      <w:r w:rsidR="00BE021A" w:rsidRPr="00F6434F">
        <w:rPr>
          <w:sz w:val="24"/>
          <w:szCs w:val="24"/>
        </w:rPr>
        <w:t>2</w:t>
      </w:r>
      <w:r w:rsidRPr="00F6434F">
        <w:rPr>
          <w:sz w:val="24"/>
          <w:szCs w:val="24"/>
        </w:rPr>
        <w:t>.20</w:t>
      </w:r>
      <w:r w:rsidR="00BE021A" w:rsidRPr="00F6434F">
        <w:rPr>
          <w:sz w:val="24"/>
          <w:szCs w:val="24"/>
        </w:rPr>
        <w:t>24</w:t>
      </w:r>
      <w:r w:rsidRPr="00F6434F">
        <w:rPr>
          <w:sz w:val="24"/>
          <w:szCs w:val="24"/>
        </w:rPr>
        <w:t>;</w:t>
      </w:r>
    </w:p>
    <w:p w14:paraId="46B5A34C" w14:textId="33634096" w:rsidR="00434FA4" w:rsidRPr="00F6434F" w:rsidRDefault="006F5C33">
      <w:pPr>
        <w:pStyle w:val="Normal1"/>
        <w:numPr>
          <w:ilvl w:val="0"/>
          <w:numId w:val="9"/>
        </w:numPr>
        <w:snapToGrid w:val="0"/>
        <w:spacing w:line="240" w:lineRule="auto"/>
        <w:rPr>
          <w:sz w:val="24"/>
          <w:szCs w:val="24"/>
        </w:rPr>
      </w:pPr>
      <w:r w:rsidRPr="00F6434F">
        <w:rPr>
          <w:sz w:val="24"/>
          <w:szCs w:val="24"/>
        </w:rPr>
        <w:t xml:space="preserve">Проектная декларация опубликована на сайте </w:t>
      </w:r>
      <w:hyperlink r:id="rId8" w:history="1">
        <w:r w:rsidR="008F076A" w:rsidRPr="00F6434F">
          <w:rPr>
            <w:rStyle w:val="af8"/>
            <w:color w:val="auto"/>
            <w:sz w:val="24"/>
            <w:szCs w:val="24"/>
            <w:lang w:val="en-US"/>
          </w:rPr>
          <w:t>www</w:t>
        </w:r>
        <w:r w:rsidR="008F076A" w:rsidRPr="00F6434F">
          <w:rPr>
            <w:rStyle w:val="af8"/>
            <w:color w:val="auto"/>
            <w:sz w:val="24"/>
            <w:szCs w:val="24"/>
          </w:rPr>
          <w:t>.наш.дом.рф</w:t>
        </w:r>
      </w:hyperlink>
      <w:r w:rsidRPr="00F6434F">
        <w:rPr>
          <w:sz w:val="24"/>
          <w:szCs w:val="24"/>
        </w:rPr>
        <w:t>.</w:t>
      </w:r>
    </w:p>
    <w:p w14:paraId="68C5D0F5" w14:textId="23017ACD" w:rsidR="008F076A" w:rsidRPr="00F6434F" w:rsidRDefault="008F076A" w:rsidP="008F076A">
      <w:pPr>
        <w:widowControl w:val="0"/>
        <w:numPr>
          <w:ilvl w:val="0"/>
          <w:numId w:val="9"/>
        </w:numPr>
        <w:snapToGrid w:val="0"/>
        <w:jc w:val="both"/>
        <w:rPr>
          <w:sz w:val="24"/>
          <w:szCs w:val="24"/>
        </w:rPr>
      </w:pPr>
      <w:r w:rsidRPr="00F6434F">
        <w:rPr>
          <w:sz w:val="24"/>
          <w:szCs w:val="24"/>
        </w:rPr>
        <w:t>Разрешение на строительство №63-01-35-2023 от 31.03.2023;</w:t>
      </w:r>
    </w:p>
    <w:p w14:paraId="41467400" w14:textId="77777777" w:rsidR="00434FA4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10.2. В соответствии с п. 1 ст. 13 Федерального закона от 30.12.2004 №214-ФЗ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>
        <w:rPr>
          <w:sz w:val="24"/>
          <w:szCs w:val="24"/>
        </w:rPr>
        <w:t xml:space="preserve">Федерации (далее Федеральный закон)"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46DCF23A" w14:textId="77777777" w:rsidR="00434FA4" w:rsidRDefault="006F5C33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254566D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728678A0" w14:textId="77777777" w:rsidR="00434FA4" w:rsidRDefault="006F5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«Кряж»,</w:t>
      </w:r>
    </w:p>
    <w:p w14:paraId="2BCE995F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443044, Самарская область, г.о. Самара, вн. р-н Кировский. п. Зубчаниновка, ул. Магистральная, влд. 66, ком.1.</w:t>
      </w:r>
    </w:p>
    <w:p w14:paraId="2FDEA61B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Почтовый адрес (для направления корреспонденции): г. Самара, ул. Молодёжная д. 16А</w:t>
      </w:r>
    </w:p>
    <w:p w14:paraId="430F9431" w14:textId="77777777" w:rsidR="00434FA4" w:rsidRDefault="006F5C33">
      <w:pPr>
        <w:pStyle w:val="a9"/>
        <w:rPr>
          <w:sz w:val="24"/>
          <w:szCs w:val="24"/>
        </w:rPr>
      </w:pPr>
      <w:r>
        <w:rPr>
          <w:sz w:val="24"/>
          <w:szCs w:val="24"/>
        </w:rPr>
        <w:t>ИНН 6312211449, ОГРН 1226300005205</w:t>
      </w:r>
    </w:p>
    <w:p w14:paraId="47B4F62A" w14:textId="77777777" w:rsidR="00434FA4" w:rsidRDefault="006F5C33">
      <w:pPr>
        <w:pStyle w:val="a9"/>
        <w:rPr>
          <w:sz w:val="24"/>
          <w:szCs w:val="24"/>
        </w:rPr>
      </w:pPr>
      <w:r>
        <w:rPr>
          <w:bCs/>
          <w:sz w:val="24"/>
          <w:szCs w:val="24"/>
        </w:rPr>
        <w:t>Тел. 8-800-234-03-03.</w:t>
      </w:r>
    </w:p>
    <w:p w14:paraId="04548559" w14:textId="77777777" w:rsidR="00434FA4" w:rsidRDefault="006F5C3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 /_______________________________ /_______________/</w:t>
      </w:r>
    </w:p>
    <w:p w14:paraId="398C63E0" w14:textId="77777777" w:rsidR="00434FA4" w:rsidRDefault="006F5C33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9E05939" w14:textId="77777777" w:rsidR="00434FA4" w:rsidRDefault="006F5C33">
      <w:p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ФИО_полностью</w:t>
      </w:r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0ECBB92D" w14:textId="77777777" w:rsidR="00434FA4" w:rsidRDefault="006F5C33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388BA22E" w14:textId="77777777" w:rsidR="00434FA4" w:rsidRDefault="006F5C33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5FD98657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r>
        <w:rPr>
          <w:sz w:val="24"/>
          <w:szCs w:val="24"/>
          <w:highlight w:val="yellow"/>
        </w:rPr>
        <w:t>ФИО_сокращ</w:t>
      </w:r>
    </w:p>
    <w:p w14:paraId="3703AA52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22A9E927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B623D14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32CE2625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299A3947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1C94187C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787C0FA8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sz w:val="24"/>
          <w:szCs w:val="24"/>
          <w:highlight w:val="yellow"/>
        </w:rPr>
        <w:t>ФИО_менедежра, КОНТ_ТЕЛЕФОН_МЕНЕДЖЕРА</w:t>
      </w:r>
    </w:p>
    <w:p w14:paraId="4A718C3A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011D7201" w14:textId="77777777" w:rsidR="00434FA4" w:rsidRDefault="00434FA4">
      <w:pPr>
        <w:pStyle w:val="a9"/>
        <w:spacing w:after="0"/>
        <w:jc w:val="both"/>
        <w:rPr>
          <w:sz w:val="16"/>
          <w:szCs w:val="16"/>
        </w:rPr>
      </w:pPr>
    </w:p>
    <w:p w14:paraId="61AB372D" w14:textId="77777777" w:rsidR="00434FA4" w:rsidRDefault="00434FA4">
      <w:pPr>
        <w:jc w:val="right"/>
        <w:rPr>
          <w:sz w:val="24"/>
          <w:szCs w:val="24"/>
        </w:rPr>
      </w:pPr>
    </w:p>
    <w:p w14:paraId="007096A4" w14:textId="77777777" w:rsidR="00434FA4" w:rsidRDefault="00434FA4">
      <w:pPr>
        <w:jc w:val="right"/>
        <w:rPr>
          <w:sz w:val="24"/>
          <w:szCs w:val="24"/>
        </w:rPr>
      </w:pPr>
    </w:p>
    <w:p w14:paraId="7A4FAF9F" w14:textId="77777777" w:rsidR="00434FA4" w:rsidRDefault="00434FA4">
      <w:pPr>
        <w:jc w:val="right"/>
        <w:rPr>
          <w:sz w:val="24"/>
          <w:szCs w:val="24"/>
        </w:rPr>
      </w:pPr>
    </w:p>
    <w:p w14:paraId="5E1160BF" w14:textId="77777777" w:rsidR="00434FA4" w:rsidRDefault="00434FA4">
      <w:pPr>
        <w:jc w:val="right"/>
        <w:rPr>
          <w:sz w:val="24"/>
          <w:szCs w:val="24"/>
        </w:rPr>
      </w:pPr>
    </w:p>
    <w:p w14:paraId="5BB959AD" w14:textId="77777777" w:rsidR="00434FA4" w:rsidRDefault="00434FA4">
      <w:pPr>
        <w:jc w:val="right"/>
        <w:rPr>
          <w:sz w:val="24"/>
          <w:szCs w:val="24"/>
        </w:rPr>
      </w:pPr>
    </w:p>
    <w:p w14:paraId="70B216F7" w14:textId="77777777" w:rsidR="00434FA4" w:rsidRDefault="00434FA4">
      <w:pPr>
        <w:jc w:val="right"/>
        <w:rPr>
          <w:sz w:val="24"/>
          <w:szCs w:val="24"/>
        </w:rPr>
      </w:pPr>
    </w:p>
    <w:p w14:paraId="7B27E8C1" w14:textId="77777777" w:rsidR="00434FA4" w:rsidRDefault="00434FA4">
      <w:pPr>
        <w:jc w:val="right"/>
        <w:rPr>
          <w:sz w:val="24"/>
          <w:szCs w:val="24"/>
        </w:rPr>
      </w:pPr>
    </w:p>
    <w:p w14:paraId="45192B06" w14:textId="77777777" w:rsidR="00434FA4" w:rsidRDefault="00434FA4">
      <w:pPr>
        <w:jc w:val="right"/>
        <w:rPr>
          <w:sz w:val="24"/>
          <w:szCs w:val="24"/>
        </w:rPr>
      </w:pPr>
    </w:p>
    <w:p w14:paraId="71946935" w14:textId="77777777" w:rsidR="00434FA4" w:rsidRDefault="00434FA4">
      <w:pPr>
        <w:jc w:val="right"/>
        <w:rPr>
          <w:sz w:val="24"/>
          <w:szCs w:val="24"/>
        </w:rPr>
      </w:pPr>
    </w:p>
    <w:p w14:paraId="659502E6" w14:textId="77777777" w:rsidR="00434FA4" w:rsidRDefault="00434FA4">
      <w:pPr>
        <w:jc w:val="right"/>
        <w:rPr>
          <w:sz w:val="24"/>
          <w:szCs w:val="24"/>
        </w:rPr>
      </w:pPr>
    </w:p>
    <w:p w14:paraId="209D1A15" w14:textId="77777777" w:rsidR="00434FA4" w:rsidRDefault="00434FA4">
      <w:pPr>
        <w:jc w:val="right"/>
        <w:rPr>
          <w:sz w:val="24"/>
          <w:szCs w:val="24"/>
        </w:rPr>
      </w:pPr>
    </w:p>
    <w:p w14:paraId="45FE5A04" w14:textId="77777777" w:rsidR="00434FA4" w:rsidRDefault="00434FA4">
      <w:pPr>
        <w:jc w:val="right"/>
        <w:rPr>
          <w:sz w:val="24"/>
          <w:szCs w:val="24"/>
        </w:rPr>
      </w:pPr>
    </w:p>
    <w:p w14:paraId="49D022BF" w14:textId="77777777" w:rsidR="00434FA4" w:rsidRDefault="00434FA4">
      <w:pPr>
        <w:jc w:val="right"/>
        <w:rPr>
          <w:sz w:val="24"/>
          <w:szCs w:val="24"/>
        </w:rPr>
      </w:pPr>
    </w:p>
    <w:p w14:paraId="50D1C450" w14:textId="77777777" w:rsidR="00434FA4" w:rsidRDefault="00434FA4">
      <w:pPr>
        <w:jc w:val="right"/>
        <w:rPr>
          <w:sz w:val="24"/>
          <w:szCs w:val="24"/>
        </w:rPr>
      </w:pPr>
    </w:p>
    <w:p w14:paraId="1A65237B" w14:textId="77777777" w:rsidR="00434FA4" w:rsidRDefault="00434FA4">
      <w:pPr>
        <w:jc w:val="right"/>
        <w:rPr>
          <w:sz w:val="24"/>
          <w:szCs w:val="24"/>
        </w:rPr>
      </w:pPr>
    </w:p>
    <w:p w14:paraId="350EE72C" w14:textId="77777777" w:rsidR="00434FA4" w:rsidRDefault="00434FA4">
      <w:pPr>
        <w:jc w:val="right"/>
        <w:rPr>
          <w:sz w:val="24"/>
          <w:szCs w:val="24"/>
        </w:rPr>
      </w:pPr>
    </w:p>
    <w:p w14:paraId="17C75363" w14:textId="77777777" w:rsidR="00434FA4" w:rsidRDefault="00434FA4">
      <w:pPr>
        <w:jc w:val="right"/>
        <w:rPr>
          <w:sz w:val="24"/>
          <w:szCs w:val="24"/>
        </w:rPr>
      </w:pPr>
    </w:p>
    <w:p w14:paraId="54D6AC9E" w14:textId="77777777" w:rsidR="00434FA4" w:rsidRDefault="00434FA4">
      <w:pPr>
        <w:jc w:val="right"/>
        <w:rPr>
          <w:sz w:val="24"/>
          <w:szCs w:val="24"/>
        </w:rPr>
      </w:pPr>
    </w:p>
    <w:p w14:paraId="4AA91751" w14:textId="77777777" w:rsidR="00434FA4" w:rsidRDefault="00434FA4">
      <w:pPr>
        <w:jc w:val="right"/>
        <w:rPr>
          <w:sz w:val="24"/>
          <w:szCs w:val="24"/>
        </w:rPr>
      </w:pPr>
    </w:p>
    <w:p w14:paraId="53F06A2C" w14:textId="77777777" w:rsidR="00434FA4" w:rsidRDefault="00434FA4">
      <w:pPr>
        <w:jc w:val="right"/>
        <w:rPr>
          <w:sz w:val="24"/>
          <w:szCs w:val="24"/>
        </w:rPr>
      </w:pPr>
    </w:p>
    <w:p w14:paraId="4925FB77" w14:textId="77777777" w:rsidR="00434FA4" w:rsidRDefault="00434FA4">
      <w:pPr>
        <w:jc w:val="right"/>
        <w:rPr>
          <w:sz w:val="24"/>
          <w:szCs w:val="24"/>
        </w:rPr>
      </w:pPr>
    </w:p>
    <w:p w14:paraId="512CEA22" w14:textId="77777777" w:rsidR="00434FA4" w:rsidRDefault="00434FA4">
      <w:pPr>
        <w:jc w:val="right"/>
        <w:rPr>
          <w:sz w:val="24"/>
          <w:szCs w:val="24"/>
        </w:rPr>
      </w:pPr>
    </w:p>
    <w:p w14:paraId="431EF564" w14:textId="77777777" w:rsidR="00434FA4" w:rsidRDefault="00434FA4">
      <w:pPr>
        <w:jc w:val="right"/>
        <w:rPr>
          <w:sz w:val="24"/>
          <w:szCs w:val="24"/>
        </w:rPr>
      </w:pPr>
    </w:p>
    <w:p w14:paraId="15B8CB68" w14:textId="77777777" w:rsidR="00434FA4" w:rsidRDefault="00434FA4">
      <w:pPr>
        <w:jc w:val="right"/>
        <w:rPr>
          <w:sz w:val="24"/>
          <w:szCs w:val="24"/>
        </w:rPr>
      </w:pPr>
    </w:p>
    <w:p w14:paraId="6D601298" w14:textId="77777777" w:rsidR="00434FA4" w:rsidRDefault="00434FA4">
      <w:pPr>
        <w:jc w:val="right"/>
        <w:rPr>
          <w:sz w:val="24"/>
          <w:szCs w:val="24"/>
        </w:rPr>
      </w:pPr>
    </w:p>
    <w:p w14:paraId="19B64BCE" w14:textId="77777777" w:rsidR="00434FA4" w:rsidRDefault="00434FA4">
      <w:pPr>
        <w:jc w:val="right"/>
        <w:rPr>
          <w:sz w:val="24"/>
          <w:szCs w:val="24"/>
        </w:rPr>
      </w:pPr>
    </w:p>
    <w:p w14:paraId="0186D79C" w14:textId="77777777" w:rsidR="00434FA4" w:rsidRDefault="00434FA4">
      <w:pPr>
        <w:jc w:val="right"/>
        <w:rPr>
          <w:sz w:val="24"/>
          <w:szCs w:val="24"/>
        </w:rPr>
      </w:pPr>
    </w:p>
    <w:p w14:paraId="2D0A30DF" w14:textId="77777777" w:rsidR="00434FA4" w:rsidRDefault="00434FA4">
      <w:pPr>
        <w:jc w:val="right"/>
        <w:rPr>
          <w:sz w:val="24"/>
          <w:szCs w:val="24"/>
        </w:rPr>
      </w:pPr>
    </w:p>
    <w:p w14:paraId="7B01B380" w14:textId="77777777" w:rsidR="00434FA4" w:rsidRDefault="00434FA4">
      <w:pPr>
        <w:jc w:val="right"/>
        <w:rPr>
          <w:sz w:val="24"/>
          <w:szCs w:val="24"/>
        </w:rPr>
      </w:pPr>
    </w:p>
    <w:p w14:paraId="0B502EB3" w14:textId="77777777" w:rsidR="00434FA4" w:rsidRDefault="00434FA4">
      <w:pPr>
        <w:jc w:val="right"/>
        <w:rPr>
          <w:sz w:val="24"/>
          <w:szCs w:val="24"/>
        </w:rPr>
      </w:pPr>
    </w:p>
    <w:p w14:paraId="482C842B" w14:textId="77777777" w:rsidR="008F076A" w:rsidRDefault="008F076A">
      <w:pPr>
        <w:jc w:val="right"/>
        <w:rPr>
          <w:sz w:val="24"/>
          <w:szCs w:val="24"/>
        </w:rPr>
      </w:pPr>
    </w:p>
    <w:p w14:paraId="52B5E305" w14:textId="77777777" w:rsidR="008F076A" w:rsidRDefault="008F076A">
      <w:pPr>
        <w:jc w:val="right"/>
        <w:rPr>
          <w:sz w:val="24"/>
          <w:szCs w:val="24"/>
        </w:rPr>
      </w:pPr>
    </w:p>
    <w:p w14:paraId="0D6EA976" w14:textId="77777777" w:rsidR="008F076A" w:rsidRDefault="008F076A">
      <w:pPr>
        <w:jc w:val="right"/>
        <w:rPr>
          <w:sz w:val="24"/>
          <w:szCs w:val="24"/>
        </w:rPr>
      </w:pPr>
    </w:p>
    <w:p w14:paraId="4DA20947" w14:textId="77777777" w:rsidR="008F076A" w:rsidRDefault="008F076A">
      <w:pPr>
        <w:jc w:val="right"/>
        <w:rPr>
          <w:sz w:val="24"/>
          <w:szCs w:val="24"/>
        </w:rPr>
      </w:pPr>
    </w:p>
    <w:p w14:paraId="3C390597" w14:textId="77777777" w:rsidR="008F076A" w:rsidRDefault="008F076A">
      <w:pPr>
        <w:jc w:val="right"/>
        <w:rPr>
          <w:sz w:val="24"/>
          <w:szCs w:val="24"/>
        </w:rPr>
      </w:pPr>
    </w:p>
    <w:p w14:paraId="5906ED0A" w14:textId="77777777" w:rsidR="008F076A" w:rsidRDefault="008F076A">
      <w:pPr>
        <w:jc w:val="right"/>
        <w:rPr>
          <w:sz w:val="24"/>
          <w:szCs w:val="24"/>
        </w:rPr>
      </w:pPr>
    </w:p>
    <w:p w14:paraId="1E1C4832" w14:textId="77777777" w:rsidR="00434FA4" w:rsidRDefault="00434FA4">
      <w:pPr>
        <w:jc w:val="right"/>
        <w:rPr>
          <w:sz w:val="24"/>
          <w:szCs w:val="24"/>
        </w:rPr>
      </w:pPr>
    </w:p>
    <w:p w14:paraId="3E0A5E5C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2ED2D21B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68D311C0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045CD895" w14:textId="77777777" w:rsidR="00434FA4" w:rsidRDefault="00434FA4">
      <w:pPr>
        <w:jc w:val="center"/>
        <w:rPr>
          <w:b/>
          <w:bCs/>
          <w:sz w:val="24"/>
          <w:szCs w:val="24"/>
        </w:rPr>
      </w:pPr>
    </w:p>
    <w:p w14:paraId="78ED79D5" w14:textId="77777777" w:rsidR="00434FA4" w:rsidRDefault="006F5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4967D8F0" w14:textId="77777777" w:rsidR="00434FA4" w:rsidRDefault="006F5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FFA5311" w14:textId="77777777" w:rsidR="00434FA4" w:rsidRDefault="00434FA4">
      <w:pPr>
        <w:jc w:val="center"/>
        <w:rPr>
          <w:b/>
          <w:bCs/>
          <w:sz w:val="24"/>
          <w:szCs w:val="24"/>
        </w:rPr>
      </w:pPr>
    </w:p>
    <w:p w14:paraId="315191E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ООО «Специализированный застройщик «Кряж»</w:t>
      </w:r>
      <w:r>
        <w:rPr>
          <w:b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ИНН 6312211449, ОГРН 1226300005205)</w:t>
      </w:r>
      <w:r>
        <w:rPr>
          <w:sz w:val="24"/>
          <w:szCs w:val="24"/>
        </w:rPr>
        <w:t>, 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21567BB9" w14:textId="77777777" w:rsidR="00434FA4" w:rsidRDefault="006F5C33">
      <w:pPr>
        <w:pStyle w:val="af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0DD51BE9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439C79D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64FBB9F2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8196EA1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72B5D7A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451FE2B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734A2CDF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7FA85A66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8A0F0C4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514176D4" w14:textId="77777777" w:rsidR="00434FA4" w:rsidRDefault="006F5C33">
      <w:pPr>
        <w:pStyle w:val="af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577884F2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45912143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6BB5F003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«СделкаРФ», «Домклик»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3DC599C7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«СделкаРФ», «Домклик» - ООО «ЦНС», ООО «Экосистема недвижимости «Метр квадратный» в банки Российской Федерации, имеющих 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60A93657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Направление информационных/рекламно-информационных сообщений.</w:t>
      </w:r>
    </w:p>
    <w:p w14:paraId="569699A5" w14:textId="77777777" w:rsidR="00434FA4" w:rsidRDefault="006F5C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в том числе  банку эскроу-агенту ПАО «Промсвязьбанк»,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6A913A50" w14:textId="77777777" w:rsidR="00434FA4" w:rsidRDefault="006F5C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6076F410" w14:textId="77777777" w:rsidR="00434FA4" w:rsidRDefault="006F5C33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4E7E0452" w14:textId="77777777" w:rsidR="00434FA4" w:rsidRDefault="00434FA4">
      <w:pPr>
        <w:jc w:val="both"/>
        <w:rPr>
          <w:b/>
          <w:bCs/>
          <w:sz w:val="24"/>
          <w:szCs w:val="24"/>
        </w:rPr>
      </w:pPr>
    </w:p>
    <w:p w14:paraId="537896F4" w14:textId="77777777" w:rsidR="00434FA4" w:rsidRDefault="006F5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5443EE53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r>
        <w:rPr>
          <w:sz w:val="24"/>
          <w:szCs w:val="24"/>
          <w:highlight w:val="yellow"/>
        </w:rPr>
        <w:t>ФИО_сокращ</w:t>
      </w:r>
    </w:p>
    <w:p w14:paraId="4D1ABE44" w14:textId="77777777" w:rsidR="00434FA4" w:rsidRDefault="00434FA4">
      <w:pPr>
        <w:rPr>
          <w:sz w:val="24"/>
          <w:szCs w:val="24"/>
          <w:highlight w:val="yellow"/>
        </w:rPr>
      </w:pPr>
    </w:p>
    <w:p w14:paraId="160227EC" w14:textId="77777777" w:rsidR="00434FA4" w:rsidRDefault="006F5C33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6BC24DD1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183036E6" w14:textId="77777777" w:rsidR="00434FA4" w:rsidRDefault="00434FA4">
      <w:pPr>
        <w:rPr>
          <w:sz w:val="18"/>
          <w:szCs w:val="18"/>
        </w:rPr>
      </w:pPr>
    </w:p>
    <w:sectPr w:rsidR="00434FA4">
      <w:footerReference w:type="even" r:id="rId9"/>
      <w:footerReference w:type="default" r:id="rId10"/>
      <w:footerReference w:type="first" r:id="rId11"/>
      <w:pgSz w:w="11906" w:h="16838"/>
      <w:pgMar w:top="719" w:right="991" w:bottom="899" w:left="1276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0556" w14:textId="77777777" w:rsidR="006F5C33" w:rsidRDefault="006F5C33">
      <w:r>
        <w:separator/>
      </w:r>
    </w:p>
  </w:endnote>
  <w:endnote w:type="continuationSeparator" w:id="0">
    <w:p w14:paraId="43AEB8D0" w14:textId="77777777" w:rsidR="006F5C33" w:rsidRDefault="006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7F6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8D49A5E" wp14:editId="4F32E2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EF1A8B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49A5E" id="Врезка1" o:spid="_x0000_s1026" style="position:absolute;margin-left:-50pt;margin-top:.05pt;width:1.2pt;height:1.2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EoSU2dQAAAABAQAADwAA&#10;AGRycy9kb3ducmV2LnhtbEyPQU/DMAyF70j8h8hI3FiyC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EoSU2d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AEF1A8B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A7C6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6E22D7EF" wp14:editId="49C2D6F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E9D984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2D7EF" id="Врезка2" o:spid="_x0000_s1027" style="position:absolute;margin-left:-41.1pt;margin-top:.05pt;width:10.1pt;height:11.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4E9D984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31FA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2BDDEB4" wp14:editId="59158DD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3863E6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DDEB4" id="_x0000_s1028" style="position:absolute;margin-left:-41.1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423863E6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E5A8" w14:textId="77777777" w:rsidR="006F5C33" w:rsidRDefault="006F5C33">
      <w:r>
        <w:separator/>
      </w:r>
    </w:p>
  </w:footnote>
  <w:footnote w:type="continuationSeparator" w:id="0">
    <w:p w14:paraId="75CD4E63" w14:textId="77777777" w:rsidR="006F5C33" w:rsidRDefault="006F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80F"/>
    <w:multiLevelType w:val="multilevel"/>
    <w:tmpl w:val="8F4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0A00CC"/>
    <w:multiLevelType w:val="multilevel"/>
    <w:tmpl w:val="736C6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2160F9"/>
    <w:multiLevelType w:val="multilevel"/>
    <w:tmpl w:val="D6FAB8F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7A7471"/>
    <w:multiLevelType w:val="multilevel"/>
    <w:tmpl w:val="ED9C296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3E255269"/>
    <w:multiLevelType w:val="multilevel"/>
    <w:tmpl w:val="BFC8FF7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924A5B"/>
    <w:multiLevelType w:val="multilevel"/>
    <w:tmpl w:val="881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AA7566"/>
    <w:multiLevelType w:val="multilevel"/>
    <w:tmpl w:val="37BEF01C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7010E1"/>
    <w:multiLevelType w:val="multilevel"/>
    <w:tmpl w:val="6BC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75043"/>
    <w:multiLevelType w:val="multilevel"/>
    <w:tmpl w:val="CA8E465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751121234">
    <w:abstractNumId w:val="6"/>
  </w:num>
  <w:num w:numId="2" w16cid:durableId="46342287">
    <w:abstractNumId w:val="7"/>
  </w:num>
  <w:num w:numId="3" w16cid:durableId="1392995117">
    <w:abstractNumId w:val="3"/>
  </w:num>
  <w:num w:numId="4" w16cid:durableId="591166041">
    <w:abstractNumId w:val="4"/>
  </w:num>
  <w:num w:numId="5" w16cid:durableId="1992295106">
    <w:abstractNumId w:val="2"/>
  </w:num>
  <w:num w:numId="6" w16cid:durableId="1993485000">
    <w:abstractNumId w:val="0"/>
  </w:num>
  <w:num w:numId="7" w16cid:durableId="1527672406">
    <w:abstractNumId w:val="8"/>
  </w:num>
  <w:num w:numId="8" w16cid:durableId="990141168">
    <w:abstractNumId w:val="1"/>
  </w:num>
  <w:num w:numId="9" w16cid:durableId="1797942323">
    <w:abstractNumId w:val="7"/>
  </w:num>
  <w:num w:numId="10" w16cid:durableId="1392726346">
    <w:abstractNumId w:val="8"/>
    <w:lvlOverride w:ilvl="0">
      <w:startOverride w:val="1"/>
    </w:lvlOverride>
  </w:num>
  <w:num w:numId="11" w16cid:durableId="292948956">
    <w:abstractNumId w:val="8"/>
  </w:num>
  <w:num w:numId="12" w16cid:durableId="1036126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A4"/>
    <w:rsid w:val="000276D7"/>
    <w:rsid w:val="00326593"/>
    <w:rsid w:val="00434FA4"/>
    <w:rsid w:val="00464E19"/>
    <w:rsid w:val="00605079"/>
    <w:rsid w:val="00657732"/>
    <w:rsid w:val="006F5C33"/>
    <w:rsid w:val="007E6A7A"/>
    <w:rsid w:val="008358F9"/>
    <w:rsid w:val="008F076A"/>
    <w:rsid w:val="00BE021A"/>
    <w:rsid w:val="00C349D6"/>
    <w:rsid w:val="00E776C0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355F"/>
  <w15:docId w15:val="{2F16BA08-7A67-4383-9493-071327B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2593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customStyle="1" w:styleId="10">
    <w:name w:val="Неразрешенное упоминание1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character" w:styleId="a5">
    <w:name w:val="annotation reference"/>
    <w:basedOn w:val="a0"/>
    <w:qFormat/>
    <w:rsid w:val="00C35FD7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C35FD7"/>
    <w:rPr>
      <w:lang w:eastAsia="ru-RU"/>
    </w:rPr>
  </w:style>
  <w:style w:type="character" w:customStyle="1" w:styleId="a7">
    <w:name w:val="Тема примечания Знак"/>
    <w:basedOn w:val="a6"/>
    <w:qFormat/>
    <w:rsid w:val="00C35FD7"/>
    <w:rPr>
      <w:b/>
      <w:bCs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FA6CE1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d">
    <w:name w:val="Body Text Indent"/>
    <w:basedOn w:val="a"/>
    <w:rsid w:val="00FA6CE1"/>
    <w:pPr>
      <w:spacing w:after="120"/>
      <w:ind w:left="283"/>
    </w:pPr>
  </w:style>
  <w:style w:type="paragraph" w:styleId="ae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одержимое врезки"/>
    <w:basedOn w:val="a"/>
    <w:qFormat/>
  </w:style>
  <w:style w:type="paragraph" w:styleId="af4">
    <w:name w:val="annotation text"/>
    <w:basedOn w:val="a"/>
    <w:qFormat/>
    <w:rsid w:val="00C35FD7"/>
  </w:style>
  <w:style w:type="paragraph" w:styleId="af5">
    <w:name w:val="annotation subject"/>
    <w:basedOn w:val="af4"/>
    <w:next w:val="af4"/>
    <w:qFormat/>
    <w:rsid w:val="00C35FD7"/>
    <w:rPr>
      <w:b/>
      <w:bCs/>
    </w:rPr>
  </w:style>
  <w:style w:type="paragraph" w:styleId="af6">
    <w:name w:val="Normal (Web)"/>
    <w:basedOn w:val="a"/>
    <w:uiPriority w:val="99"/>
    <w:unhideWhenUsed/>
    <w:qFormat/>
    <w:rsid w:val="00122593"/>
    <w:pPr>
      <w:suppressAutoHyphens w:val="0"/>
      <w:spacing w:beforeAutospacing="1" w:afterAutospacing="1"/>
    </w:pPr>
    <w:rPr>
      <w:sz w:val="24"/>
      <w:szCs w:val="24"/>
    </w:rPr>
  </w:style>
  <w:style w:type="table" w:styleId="af7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8F076A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8F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0610-3799-4506-977B-CC3291F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15</cp:revision>
  <cp:lastPrinted>2022-12-28T16:16:00Z</cp:lastPrinted>
  <dcterms:created xsi:type="dcterms:W3CDTF">2023-06-26T13:35:00Z</dcterms:created>
  <dcterms:modified xsi:type="dcterms:W3CDTF">2024-04-01T10:20:00Z</dcterms:modified>
  <dc:language>ru-RU</dc:language>
</cp:coreProperties>
</file>