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4A678903" w:rsidR="00AB4F25" w:rsidRPr="0037027A" w:rsidRDefault="006700A8"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Pr>
          <w:b/>
          <w:bCs/>
          <w:sz w:val="20"/>
          <w:szCs w:val="20"/>
        </w:rPr>
        <w:t>Волжский простор</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1655482935</w:t>
      </w:r>
      <w:r w:rsidRPr="008803DD">
        <w:rPr>
          <w:sz w:val="20"/>
          <w:szCs w:val="20"/>
        </w:rPr>
        <w:t>, основной государственный регистрацио</w:t>
      </w:r>
      <w:r>
        <w:rPr>
          <w:sz w:val="20"/>
          <w:szCs w:val="20"/>
        </w:rPr>
        <w:t>нный номер (ОГРН): </w:t>
      </w:r>
      <w:r w:rsidRPr="004429ED">
        <w:rPr>
          <w:sz w:val="20"/>
          <w:szCs w:val="20"/>
        </w:rPr>
        <w:t>1221600060549</w:t>
      </w:r>
      <w:r w:rsidRPr="008803DD">
        <w:rPr>
          <w:sz w:val="20"/>
          <w:szCs w:val="20"/>
        </w:rPr>
        <w:t>, код причины постановки на учет (КПП): </w:t>
      </w:r>
      <w:r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 xml:space="preserve">управлению юридическим лицом № 16 от 03.08.2022 </w:t>
      </w:r>
      <w:proofErr w:type="spellStart"/>
      <w:proofErr w:type="gramStart"/>
      <w:r>
        <w:rPr>
          <w:sz w:val="20"/>
          <w:szCs w:val="20"/>
        </w:rPr>
        <w:t>г.</w:t>
      </w:r>
      <w:r w:rsidRPr="008803DD">
        <w:rPr>
          <w:sz w:val="20"/>
          <w:szCs w:val="20"/>
        </w:rPr>
        <w:t>,</w:t>
      </w:r>
      <w:r w:rsidR="000E6F46" w:rsidRPr="008803DD">
        <w:rPr>
          <w:b/>
          <w:bCs/>
          <w:sz w:val="20"/>
          <w:szCs w:val="20"/>
        </w:rPr>
        <w:t>с</w:t>
      </w:r>
      <w:proofErr w:type="spellEnd"/>
      <w:proofErr w:type="gramEnd"/>
      <w:r w:rsidR="000E6F46" w:rsidRPr="008803DD">
        <w:rPr>
          <w:b/>
          <w:bCs/>
          <w:sz w:val="20"/>
          <w:szCs w:val="20"/>
        </w:rPr>
        <w:t xml:space="preserve"> одной стороны</w:t>
      </w:r>
      <w:r w:rsidR="00CA3740"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4F6D4823" w14:textId="79CC4E40" w:rsidR="006700A8" w:rsidRPr="00CA3740" w:rsidRDefault="00F05868" w:rsidP="006700A8">
      <w:pPr>
        <w:shd w:val="clear" w:color="auto" w:fill="FFFFFF"/>
        <w:tabs>
          <w:tab w:val="left" w:pos="1181"/>
        </w:tabs>
        <w:spacing w:line="240" w:lineRule="auto"/>
        <w:ind w:firstLine="0"/>
        <w:contextualSpacing/>
        <w:jc w:val="both"/>
        <w:rPr>
          <w:sz w:val="20"/>
          <w:szCs w:val="20"/>
        </w:rPr>
      </w:pPr>
      <w:r>
        <w:rPr>
          <w:b/>
          <w:sz w:val="20"/>
          <w:szCs w:val="20"/>
        </w:rPr>
        <w:t xml:space="preserve">1.1. </w:t>
      </w:r>
      <w:r w:rsidR="006700A8" w:rsidRPr="00134BA8">
        <w:rPr>
          <w:b/>
          <w:sz w:val="20"/>
          <w:szCs w:val="20"/>
        </w:rPr>
        <w:t>ЗАСТРОЙЩИК</w:t>
      </w:r>
      <w:r w:rsidR="006700A8"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6700A8" w:rsidRPr="004429ED">
        <w:rPr>
          <w:sz w:val="20"/>
          <w:szCs w:val="20"/>
        </w:rPr>
        <w:t>Жилой комплекс «Волжские просторы» 6-й пусковой комплекс, жилые дома 6.1, 6.4, 6.5 с наземным и подземным пар</w:t>
      </w:r>
      <w:r w:rsidR="006700A8">
        <w:rPr>
          <w:sz w:val="20"/>
          <w:szCs w:val="20"/>
        </w:rPr>
        <w:t>кингами. Жилой дом 6.1 (I этап),</w:t>
      </w:r>
      <w:r w:rsidR="006700A8" w:rsidRPr="0011311E">
        <w:rPr>
          <w:sz w:val="20"/>
          <w:szCs w:val="20"/>
        </w:rPr>
        <w:t xml:space="preserve"> расположенный по строительному адресу: </w:t>
      </w:r>
      <w:r w:rsidR="006700A8">
        <w:rPr>
          <w:sz w:val="20"/>
          <w:szCs w:val="20"/>
        </w:rPr>
        <w:t xml:space="preserve">Республика Татарстан, </w:t>
      </w:r>
      <w:proofErr w:type="spellStart"/>
      <w:r w:rsidR="006700A8" w:rsidRPr="0011311E">
        <w:rPr>
          <w:sz w:val="20"/>
          <w:szCs w:val="20"/>
        </w:rPr>
        <w:t>г.Казань</w:t>
      </w:r>
      <w:proofErr w:type="spellEnd"/>
      <w:r w:rsidR="006700A8" w:rsidRPr="0011311E">
        <w:rPr>
          <w:sz w:val="20"/>
          <w:szCs w:val="20"/>
        </w:rPr>
        <w:t>, ул. Оренбургский Тракт</w:t>
      </w:r>
      <w:r w:rsidR="006700A8">
        <w:rPr>
          <w:sz w:val="20"/>
          <w:szCs w:val="20"/>
        </w:rPr>
        <w:t>. Жилой дом</w:t>
      </w:r>
      <w:r w:rsidR="006700A8" w:rsidRPr="00C94677">
        <w:rPr>
          <w:sz w:val="20"/>
          <w:szCs w:val="20"/>
        </w:rPr>
        <w:t xml:space="preserve"> </w:t>
      </w:r>
      <w:r w:rsidR="006700A8" w:rsidRPr="000524BC">
        <w:rPr>
          <w:sz w:val="20"/>
          <w:szCs w:val="20"/>
        </w:rPr>
        <w:t xml:space="preserve">односекционный, 25-ти этажный, со встроенными нежилыми помещениями на первом этаже, расположен по адресу: </w:t>
      </w:r>
      <w:proofErr w:type="spellStart"/>
      <w:r w:rsidR="006700A8" w:rsidRPr="000524BC">
        <w:rPr>
          <w:sz w:val="20"/>
          <w:szCs w:val="20"/>
        </w:rPr>
        <w:t>г.Казань</w:t>
      </w:r>
      <w:proofErr w:type="spellEnd"/>
      <w:r w:rsidR="006700A8" w:rsidRPr="000524BC">
        <w:rPr>
          <w:sz w:val="20"/>
          <w:szCs w:val="20"/>
        </w:rPr>
        <w:t>, Приволжский район, ул. Оренбургский Тракт 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субаренды земельном</w:t>
      </w:r>
      <w:r w:rsidR="006700A8" w:rsidRPr="0078271C">
        <w:rPr>
          <w:sz w:val="20"/>
          <w:szCs w:val="20"/>
        </w:rPr>
        <w:t xml:space="preserve"> участке площадью </w:t>
      </w:r>
      <w:r w:rsidR="006700A8">
        <w:rPr>
          <w:sz w:val="20"/>
          <w:szCs w:val="20"/>
        </w:rPr>
        <w:t>16 191</w:t>
      </w:r>
      <w:r w:rsidR="006700A8" w:rsidRPr="0078271C">
        <w:rPr>
          <w:sz w:val="20"/>
          <w:szCs w:val="20"/>
        </w:rPr>
        <w:t xml:space="preserve"> (</w:t>
      </w:r>
      <w:r w:rsidR="006700A8">
        <w:rPr>
          <w:sz w:val="20"/>
          <w:szCs w:val="20"/>
        </w:rPr>
        <w:t>Шестнадцать тысяч сто девяносто один</w:t>
      </w:r>
      <w:r w:rsidR="006700A8" w:rsidRPr="0078271C">
        <w:rPr>
          <w:sz w:val="20"/>
          <w:szCs w:val="20"/>
        </w:rPr>
        <w:t>) кв. м</w:t>
      </w:r>
      <w:r w:rsidR="006700A8" w:rsidRPr="00877AC1">
        <w:rPr>
          <w:sz w:val="20"/>
          <w:szCs w:val="20"/>
        </w:rPr>
        <w:t>, с кадастровым номером 16:50:171202:</w:t>
      </w:r>
      <w:r w:rsidR="006700A8">
        <w:rPr>
          <w:sz w:val="20"/>
          <w:szCs w:val="20"/>
        </w:rPr>
        <w:t>2974</w:t>
      </w:r>
      <w:r w:rsidR="006700A8"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2E753B76"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Вид строящегося (создаваемого) объекта капитального строительства: </w:t>
      </w:r>
      <w:r w:rsidRPr="004429ED">
        <w:rPr>
          <w:sz w:val="20"/>
          <w:szCs w:val="20"/>
        </w:rPr>
        <w:t>многоквартирный дом.</w:t>
      </w:r>
    </w:p>
    <w:p w14:paraId="6276E20D"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Общая площадь жилого дома: </w:t>
      </w:r>
      <w:r w:rsidRPr="004429ED">
        <w:rPr>
          <w:sz w:val="20"/>
          <w:szCs w:val="20"/>
        </w:rPr>
        <w:t xml:space="preserve">16 679,0 </w:t>
      </w:r>
      <w:proofErr w:type="spellStart"/>
      <w:r w:rsidRPr="004429ED">
        <w:rPr>
          <w:sz w:val="20"/>
          <w:szCs w:val="20"/>
        </w:rPr>
        <w:t>кв.м</w:t>
      </w:r>
      <w:proofErr w:type="spellEnd"/>
      <w:r w:rsidRPr="004429ED">
        <w:rPr>
          <w:sz w:val="20"/>
          <w:szCs w:val="20"/>
        </w:rPr>
        <w:t>.</w:t>
      </w:r>
    </w:p>
    <w:p w14:paraId="05CAF1CE"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Этажность Многоквартирного дома: </w:t>
      </w:r>
      <w:r w:rsidRPr="004429ED">
        <w:rPr>
          <w:sz w:val="20"/>
          <w:szCs w:val="20"/>
        </w:rPr>
        <w:t>25 этажей</w:t>
      </w:r>
    </w:p>
    <w:p w14:paraId="55AB2096"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этажей, в том числе подвал: </w:t>
      </w:r>
      <w:r w:rsidRPr="004429ED">
        <w:rPr>
          <w:sz w:val="20"/>
          <w:szCs w:val="20"/>
        </w:rPr>
        <w:t>26 этажей</w:t>
      </w:r>
    </w:p>
    <w:p w14:paraId="210DEF8A"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секций – </w:t>
      </w:r>
      <w:r w:rsidRPr="004429ED">
        <w:rPr>
          <w:sz w:val="20"/>
          <w:szCs w:val="20"/>
        </w:rPr>
        <w:t>1 секция</w:t>
      </w:r>
    </w:p>
    <w:p w14:paraId="2EAB3AD4"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квартир на лестничной площадке: </w:t>
      </w:r>
      <w:r w:rsidRPr="004429ED">
        <w:rPr>
          <w:sz w:val="20"/>
          <w:szCs w:val="20"/>
        </w:rPr>
        <w:t>11 квартир</w:t>
      </w:r>
    </w:p>
    <w:p w14:paraId="79FCAB9B"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Наружные стены – </w:t>
      </w:r>
      <w:r w:rsidRPr="004429ED">
        <w:rPr>
          <w:sz w:val="20"/>
          <w:szCs w:val="20"/>
        </w:rPr>
        <w:t>монолитный железобетонный каркас и стены из мелкоштучных строительных материалов;</w:t>
      </w:r>
    </w:p>
    <w:p w14:paraId="6D505C48"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Отделка фасадов здания – </w:t>
      </w:r>
      <w:r w:rsidRPr="004429ED">
        <w:rPr>
          <w:sz w:val="20"/>
          <w:szCs w:val="20"/>
        </w:rPr>
        <w:t>навесная вентилируемая фасадная система с облицовкой.</w:t>
      </w:r>
    </w:p>
    <w:p w14:paraId="3EF1237A"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Внутренние стены: </w:t>
      </w:r>
      <w:r w:rsidRPr="004429ED">
        <w:rPr>
          <w:sz w:val="20"/>
          <w:szCs w:val="20"/>
        </w:rPr>
        <w:t>мелкоштучный строительный материал.</w:t>
      </w:r>
    </w:p>
    <w:p w14:paraId="43EAD9C2"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Материал перекрытий – </w:t>
      </w:r>
      <w:r w:rsidRPr="004429ED">
        <w:rPr>
          <w:sz w:val="20"/>
          <w:szCs w:val="20"/>
        </w:rPr>
        <w:t>монолитные железобетонные.</w:t>
      </w:r>
    </w:p>
    <w:p w14:paraId="23B0CA89"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Кровля жилого дома – </w:t>
      </w:r>
      <w:r w:rsidRPr="004429ED">
        <w:rPr>
          <w:sz w:val="20"/>
          <w:szCs w:val="20"/>
        </w:rPr>
        <w:t>неэксплуатируемая плоская с внутренним водостоком.</w:t>
      </w:r>
      <w:r w:rsidRPr="004429ED">
        <w:rPr>
          <w:b/>
          <w:sz w:val="20"/>
          <w:szCs w:val="20"/>
        </w:rPr>
        <w:t xml:space="preserve"> </w:t>
      </w:r>
    </w:p>
    <w:p w14:paraId="5056A231"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Класс </w:t>
      </w:r>
      <w:proofErr w:type="spellStart"/>
      <w:r w:rsidRPr="004429ED">
        <w:rPr>
          <w:b/>
          <w:sz w:val="20"/>
          <w:szCs w:val="20"/>
        </w:rPr>
        <w:t>энергоэффективности</w:t>
      </w:r>
      <w:proofErr w:type="spellEnd"/>
      <w:r w:rsidRPr="004429ED">
        <w:rPr>
          <w:b/>
          <w:sz w:val="20"/>
          <w:szCs w:val="20"/>
        </w:rPr>
        <w:t xml:space="preserve">: </w:t>
      </w:r>
      <w:r w:rsidRPr="004429ED">
        <w:rPr>
          <w:sz w:val="20"/>
          <w:szCs w:val="20"/>
        </w:rPr>
        <w:t>согласно проектной документации «В»;</w:t>
      </w:r>
    </w:p>
    <w:p w14:paraId="26990306" w14:textId="77777777" w:rsidR="006700A8" w:rsidRPr="004429ED" w:rsidRDefault="006700A8" w:rsidP="006700A8">
      <w:pPr>
        <w:widowControl/>
        <w:suppressAutoHyphens w:val="0"/>
        <w:autoSpaceDN w:val="0"/>
        <w:adjustRightInd w:val="0"/>
        <w:spacing w:line="240" w:lineRule="auto"/>
        <w:ind w:firstLine="0"/>
        <w:contextualSpacing/>
        <w:jc w:val="both"/>
        <w:rPr>
          <w:sz w:val="20"/>
          <w:szCs w:val="20"/>
        </w:rPr>
      </w:pPr>
      <w:r w:rsidRPr="004429ED">
        <w:rPr>
          <w:sz w:val="20"/>
          <w:szCs w:val="20"/>
        </w:rPr>
        <w:t xml:space="preserve">При вводе в эксплуатацию жилого дома класс </w:t>
      </w:r>
      <w:proofErr w:type="spellStart"/>
      <w:r w:rsidRPr="004429ED">
        <w:rPr>
          <w:sz w:val="20"/>
          <w:szCs w:val="20"/>
        </w:rPr>
        <w:t>энергоэффективности</w:t>
      </w:r>
      <w:proofErr w:type="spellEnd"/>
      <w:r w:rsidRPr="004429ED">
        <w:rPr>
          <w:sz w:val="20"/>
          <w:szCs w:val="20"/>
        </w:rPr>
        <w:t xml:space="preserve"> будет определен органом государственного строительного надзора согласно приказу от 06.06.2016 № 399/пр.</w:t>
      </w:r>
    </w:p>
    <w:p w14:paraId="5715D31F" w14:textId="77777777" w:rsidR="006700A8" w:rsidRPr="004429ED" w:rsidRDefault="006700A8" w:rsidP="006700A8">
      <w:pPr>
        <w:widowControl/>
        <w:suppressAutoHyphens w:val="0"/>
        <w:autoSpaceDN w:val="0"/>
        <w:adjustRightInd w:val="0"/>
        <w:spacing w:line="240" w:lineRule="auto"/>
        <w:ind w:firstLine="0"/>
        <w:contextualSpacing/>
        <w:jc w:val="both"/>
        <w:rPr>
          <w:b/>
          <w:sz w:val="20"/>
          <w:szCs w:val="20"/>
        </w:rPr>
      </w:pPr>
    </w:p>
    <w:p w14:paraId="7B513336" w14:textId="77777777" w:rsidR="006700A8" w:rsidRDefault="006700A8" w:rsidP="006700A8">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Сейсмостойкость: </w:t>
      </w:r>
      <w:r w:rsidRPr="004429ED">
        <w:rPr>
          <w:sz w:val="20"/>
          <w:szCs w:val="20"/>
        </w:rPr>
        <w:t>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w:t>
      </w:r>
      <w:bookmarkStart w:id="0" w:name="_GoBack"/>
      <w:bookmarkEnd w:id="0"/>
      <w:r w:rsidRPr="004429ED">
        <w:rPr>
          <w:sz w:val="20"/>
          <w:szCs w:val="20"/>
        </w:rPr>
        <w:t>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5E5FB28E"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0ED87AAD"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Потолки – </w:t>
      </w:r>
      <w:r w:rsidRPr="000E6F46">
        <w:rPr>
          <w:sz w:val="20"/>
          <w:szCs w:val="20"/>
        </w:rPr>
        <w:t>монолитные ж/бетонные, без отделки.</w:t>
      </w:r>
    </w:p>
    <w:p w14:paraId="21E6F865" w14:textId="2DF6950F" w:rsidR="000E6F46" w:rsidRPr="000E6F46" w:rsidRDefault="000E6F46" w:rsidP="000E6F46">
      <w:pPr>
        <w:spacing w:line="240" w:lineRule="auto"/>
        <w:ind w:firstLine="708"/>
        <w:contextualSpacing/>
        <w:jc w:val="both"/>
        <w:rPr>
          <w:b/>
          <w:sz w:val="20"/>
          <w:szCs w:val="20"/>
        </w:rPr>
      </w:pPr>
      <w:r w:rsidRPr="000E6F46">
        <w:rPr>
          <w:b/>
          <w:sz w:val="20"/>
          <w:szCs w:val="20"/>
        </w:rPr>
        <w:t xml:space="preserve">Стены – </w:t>
      </w:r>
      <w:r w:rsidRPr="000E6F46">
        <w:rPr>
          <w:sz w:val="20"/>
          <w:szCs w:val="20"/>
        </w:rPr>
        <w:t>мелкоштучный строительный материал, без отделки, межкомнатные перегородки выполняются собственником помещения</w:t>
      </w:r>
      <w:r>
        <w:rPr>
          <w:sz w:val="20"/>
          <w:szCs w:val="20"/>
        </w:rPr>
        <w:t>.</w:t>
      </w:r>
    </w:p>
    <w:p w14:paraId="34D4015A" w14:textId="45A09278" w:rsidR="000E6F46" w:rsidRPr="000E6F46" w:rsidRDefault="000E6F46" w:rsidP="000E6F46">
      <w:pPr>
        <w:spacing w:line="240" w:lineRule="auto"/>
        <w:ind w:firstLine="708"/>
        <w:contextualSpacing/>
        <w:jc w:val="both"/>
        <w:rPr>
          <w:b/>
          <w:sz w:val="20"/>
          <w:szCs w:val="20"/>
        </w:rPr>
      </w:pPr>
      <w:r w:rsidRPr="000E6F46">
        <w:rPr>
          <w:b/>
          <w:sz w:val="20"/>
          <w:szCs w:val="20"/>
        </w:rPr>
        <w:lastRenderedPageBreak/>
        <w:t xml:space="preserve">Полы – </w:t>
      </w:r>
      <w:r w:rsidRPr="000E6F46">
        <w:rPr>
          <w:sz w:val="20"/>
          <w:szCs w:val="20"/>
        </w:rPr>
        <w:t>полусухая стяжка, выполняется собственником помещения; в санузлах – устройство гидроизоляционного слоя, полусухая стяжка, выполняются собственником помещения</w:t>
      </w:r>
      <w:r>
        <w:rPr>
          <w:sz w:val="20"/>
          <w:szCs w:val="20"/>
        </w:rPr>
        <w:t>.</w:t>
      </w:r>
      <w:r w:rsidRPr="000E6F46">
        <w:rPr>
          <w:b/>
          <w:sz w:val="20"/>
          <w:szCs w:val="20"/>
        </w:rPr>
        <w:t xml:space="preserve"> </w:t>
      </w:r>
    </w:p>
    <w:p w14:paraId="44449830" w14:textId="5822B55C" w:rsidR="000E6F46" w:rsidRPr="000E6F46" w:rsidRDefault="000E6F46" w:rsidP="000E6F46">
      <w:pPr>
        <w:spacing w:line="240" w:lineRule="auto"/>
        <w:ind w:firstLine="708"/>
        <w:contextualSpacing/>
        <w:jc w:val="both"/>
        <w:rPr>
          <w:b/>
          <w:sz w:val="20"/>
          <w:szCs w:val="20"/>
        </w:rPr>
      </w:pPr>
      <w:r w:rsidRPr="000E6F46">
        <w:rPr>
          <w:b/>
          <w:sz w:val="20"/>
          <w:szCs w:val="20"/>
        </w:rPr>
        <w:t xml:space="preserve">Оконные проемы – </w:t>
      </w:r>
      <w:r w:rsidRPr="000E6F46">
        <w:rPr>
          <w:sz w:val="20"/>
          <w:szCs w:val="20"/>
        </w:rPr>
        <w:t>ПВХ окна</w:t>
      </w:r>
      <w:r>
        <w:rPr>
          <w:sz w:val="20"/>
          <w:szCs w:val="20"/>
        </w:rPr>
        <w:t>,</w:t>
      </w:r>
      <w:r w:rsidRPr="000E6F46">
        <w:rPr>
          <w:sz w:val="20"/>
          <w:szCs w:val="20"/>
        </w:rPr>
        <w:t xml:space="preserve"> алюминиевые витражи, без устройства подоконников и откосов.</w:t>
      </w:r>
    </w:p>
    <w:p w14:paraId="168F2FA6"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Остекление лоджий, балконов – </w:t>
      </w:r>
      <w:r w:rsidRPr="000E6F46">
        <w:rPr>
          <w:sz w:val="20"/>
          <w:szCs w:val="20"/>
        </w:rPr>
        <w:t>лоджии и балконы не предусмотрены.</w:t>
      </w:r>
    </w:p>
    <w:p w14:paraId="0E23AE5A" w14:textId="77777777" w:rsidR="000E6F46" w:rsidRPr="000E6F46" w:rsidRDefault="000E6F46" w:rsidP="000E6F46">
      <w:pPr>
        <w:spacing w:line="240" w:lineRule="auto"/>
        <w:ind w:firstLine="708"/>
        <w:contextualSpacing/>
        <w:jc w:val="both"/>
        <w:rPr>
          <w:b/>
          <w:sz w:val="20"/>
          <w:szCs w:val="20"/>
        </w:rPr>
      </w:pPr>
      <w:r w:rsidRPr="000E6F46">
        <w:rPr>
          <w:b/>
          <w:sz w:val="20"/>
          <w:szCs w:val="20"/>
        </w:rPr>
        <w:t>Двери:</w:t>
      </w:r>
    </w:p>
    <w:p w14:paraId="09E46B45"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Внутренние двери – </w:t>
      </w:r>
      <w:r w:rsidRPr="000E6F46">
        <w:rPr>
          <w:sz w:val="20"/>
          <w:szCs w:val="20"/>
        </w:rPr>
        <w:t>не устанавливаются.</w:t>
      </w:r>
    </w:p>
    <w:p w14:paraId="1AF3EEDD"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Входная – </w:t>
      </w:r>
      <w:r w:rsidRPr="000E6F46">
        <w:rPr>
          <w:sz w:val="20"/>
          <w:szCs w:val="20"/>
        </w:rPr>
        <w:t>металлическая.</w:t>
      </w:r>
    </w:p>
    <w:p w14:paraId="1B1F61FD" w14:textId="775103CE" w:rsidR="000E6F46" w:rsidRPr="000E6F46" w:rsidRDefault="000E6F46" w:rsidP="000E6F46">
      <w:pPr>
        <w:spacing w:line="240" w:lineRule="auto"/>
        <w:ind w:firstLine="708"/>
        <w:contextualSpacing/>
        <w:jc w:val="both"/>
        <w:rPr>
          <w:sz w:val="20"/>
          <w:szCs w:val="20"/>
        </w:rPr>
      </w:pPr>
      <w:r w:rsidRPr="000E6F46">
        <w:rPr>
          <w:b/>
          <w:sz w:val="20"/>
          <w:szCs w:val="20"/>
        </w:rPr>
        <w:t xml:space="preserve">Отопление – </w:t>
      </w:r>
      <w:r w:rsidRPr="000E6F46">
        <w:rPr>
          <w:sz w:val="20"/>
          <w:szCs w:val="20"/>
        </w:rPr>
        <w:t>разводка труб с установкой отопительных приборов</w:t>
      </w:r>
      <w:r>
        <w:rPr>
          <w:sz w:val="20"/>
          <w:szCs w:val="20"/>
        </w:rPr>
        <w:t>.</w:t>
      </w:r>
    </w:p>
    <w:p w14:paraId="1DFEE840" w14:textId="77777777" w:rsidR="000E6F46" w:rsidRPr="000E6F46" w:rsidRDefault="000E6F46" w:rsidP="000E6F46">
      <w:pPr>
        <w:spacing w:line="240" w:lineRule="auto"/>
        <w:ind w:firstLine="708"/>
        <w:contextualSpacing/>
        <w:jc w:val="both"/>
        <w:rPr>
          <w:b/>
          <w:sz w:val="20"/>
          <w:szCs w:val="20"/>
        </w:rPr>
      </w:pPr>
      <w:r w:rsidRPr="000E6F46">
        <w:rPr>
          <w:b/>
          <w:sz w:val="20"/>
          <w:szCs w:val="20"/>
        </w:rPr>
        <w:t xml:space="preserve">Канализация – </w:t>
      </w:r>
      <w:r w:rsidRPr="000E6F46">
        <w:rPr>
          <w:sz w:val="20"/>
          <w:szCs w:val="20"/>
        </w:rPr>
        <w:t>устройство стояков, без разводки по помещению и установки сантехнических приборов.</w:t>
      </w:r>
      <w:r w:rsidRPr="000E6F46">
        <w:rPr>
          <w:b/>
          <w:sz w:val="20"/>
          <w:szCs w:val="20"/>
        </w:rPr>
        <w:t xml:space="preserve"> </w:t>
      </w:r>
    </w:p>
    <w:p w14:paraId="5720A1B6" w14:textId="39633E83" w:rsidR="000E6F46" w:rsidRPr="000E6F46" w:rsidRDefault="000E6F46" w:rsidP="000E6F46">
      <w:pPr>
        <w:spacing w:line="240" w:lineRule="auto"/>
        <w:ind w:firstLine="708"/>
        <w:contextualSpacing/>
        <w:jc w:val="both"/>
        <w:rPr>
          <w:b/>
          <w:sz w:val="20"/>
          <w:szCs w:val="20"/>
        </w:rPr>
      </w:pPr>
      <w:r w:rsidRPr="000E6F46">
        <w:rPr>
          <w:b/>
          <w:sz w:val="20"/>
          <w:szCs w:val="20"/>
        </w:rPr>
        <w:t xml:space="preserve">Холодное водоснабжение – </w:t>
      </w:r>
      <w:r w:rsidRPr="000E6F46">
        <w:rPr>
          <w:sz w:val="20"/>
          <w:szCs w:val="20"/>
        </w:rPr>
        <w:t>устройство стояков без разводки по помещению и установки сантехнических приборов, с установкой прибора учета</w:t>
      </w:r>
      <w:r>
        <w:rPr>
          <w:sz w:val="20"/>
          <w:szCs w:val="20"/>
        </w:rPr>
        <w:t>.</w:t>
      </w:r>
    </w:p>
    <w:p w14:paraId="19E8A161" w14:textId="23837280" w:rsidR="000E6F46" w:rsidRPr="000E6F46" w:rsidRDefault="000E6F46" w:rsidP="000E6F46">
      <w:pPr>
        <w:spacing w:line="240" w:lineRule="auto"/>
        <w:ind w:firstLine="708"/>
        <w:contextualSpacing/>
        <w:jc w:val="both"/>
        <w:rPr>
          <w:b/>
          <w:sz w:val="20"/>
          <w:szCs w:val="20"/>
        </w:rPr>
      </w:pPr>
      <w:r w:rsidRPr="000E6F46">
        <w:rPr>
          <w:b/>
          <w:sz w:val="20"/>
          <w:szCs w:val="20"/>
        </w:rPr>
        <w:t xml:space="preserve"> Горячее водоснабжение – </w:t>
      </w:r>
      <w:r w:rsidRPr="000E6F46">
        <w:rPr>
          <w:sz w:val="20"/>
          <w:szCs w:val="20"/>
        </w:rPr>
        <w:t>устройство стояков без разводки по помещению и установки сантехнических прибо</w:t>
      </w:r>
      <w:r>
        <w:rPr>
          <w:sz w:val="20"/>
          <w:szCs w:val="20"/>
        </w:rPr>
        <w:t>ров, с установкой прибора учета.</w:t>
      </w:r>
    </w:p>
    <w:p w14:paraId="0C83CD0D" w14:textId="546DB25E" w:rsidR="000E6F46" w:rsidRPr="000E6F46" w:rsidRDefault="000E6F46" w:rsidP="000E6F46">
      <w:pPr>
        <w:spacing w:line="240" w:lineRule="auto"/>
        <w:ind w:firstLine="708"/>
        <w:contextualSpacing/>
        <w:jc w:val="both"/>
        <w:rPr>
          <w:b/>
          <w:sz w:val="20"/>
          <w:szCs w:val="20"/>
        </w:rPr>
      </w:pPr>
      <w:r w:rsidRPr="000E6F46">
        <w:rPr>
          <w:b/>
          <w:sz w:val="20"/>
          <w:szCs w:val="20"/>
        </w:rPr>
        <w:t xml:space="preserve">Электроснабжение – </w:t>
      </w:r>
      <w:r w:rsidRPr="000E6F46">
        <w:rPr>
          <w:sz w:val="20"/>
          <w:szCs w:val="20"/>
        </w:rPr>
        <w:t>электропроводка для временного освещения помещений, с установкой счетчика учета потребления электроэне</w:t>
      </w:r>
      <w:r>
        <w:rPr>
          <w:sz w:val="20"/>
          <w:szCs w:val="20"/>
        </w:rPr>
        <w:t>ргии, без разводки по помещению.</w:t>
      </w:r>
    </w:p>
    <w:p w14:paraId="375E11C9" w14:textId="77777777" w:rsidR="000E6F46" w:rsidRPr="000E6F46" w:rsidRDefault="000E6F46" w:rsidP="000E6F46">
      <w:pPr>
        <w:spacing w:line="240" w:lineRule="auto"/>
        <w:ind w:firstLine="708"/>
        <w:contextualSpacing/>
        <w:jc w:val="both"/>
        <w:rPr>
          <w:sz w:val="20"/>
          <w:szCs w:val="20"/>
        </w:rPr>
      </w:pPr>
      <w:r w:rsidRPr="000E6F46">
        <w:rPr>
          <w:b/>
          <w:sz w:val="20"/>
          <w:szCs w:val="20"/>
        </w:rPr>
        <w:t xml:space="preserve">Телефон – </w:t>
      </w:r>
      <w:r w:rsidRPr="000E6F46">
        <w:rPr>
          <w:sz w:val="20"/>
          <w:szCs w:val="20"/>
        </w:rPr>
        <w:t xml:space="preserve">доступ к сети провайдера по каналам IP – телефонии.  </w:t>
      </w:r>
    </w:p>
    <w:p w14:paraId="14353756" w14:textId="093C825C" w:rsidR="0041659C" w:rsidRPr="000E6F46" w:rsidRDefault="000E6F46" w:rsidP="000E6F46">
      <w:pPr>
        <w:spacing w:line="240" w:lineRule="auto"/>
        <w:ind w:firstLine="708"/>
        <w:contextualSpacing/>
        <w:jc w:val="both"/>
        <w:rPr>
          <w:sz w:val="20"/>
          <w:szCs w:val="20"/>
        </w:rPr>
      </w:pPr>
      <w:r w:rsidRPr="000E6F46">
        <w:rPr>
          <w:sz w:val="20"/>
          <w:szCs w:val="20"/>
        </w:rPr>
        <w:t>Чистовая отделка Объекта долевого строител</w:t>
      </w:r>
      <w:r>
        <w:rPr>
          <w:sz w:val="20"/>
          <w:szCs w:val="20"/>
        </w:rPr>
        <w:t>ьства проектом не предусмотрена</w:t>
      </w:r>
      <w:r w:rsidR="00134BA8" w:rsidRPr="000E6F46">
        <w:rPr>
          <w:sz w:val="20"/>
          <w:szCs w:val="20"/>
        </w:rPr>
        <w:t>, не выполняется и не входит в цену настоящего Договора, указанную в пункте 2.2 Договора.</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31363148" w14:textId="77777777" w:rsidR="006700A8" w:rsidRDefault="006700A8" w:rsidP="006700A8">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Разрешение на строительство</w:t>
      </w:r>
      <w:r w:rsidRPr="002F0964">
        <w:rPr>
          <w:sz w:val="20"/>
          <w:szCs w:val="20"/>
        </w:rPr>
        <w:t xml:space="preserve"> </w:t>
      </w:r>
      <w:r>
        <w:rPr>
          <w:sz w:val="20"/>
          <w:szCs w:val="20"/>
        </w:rPr>
        <w:t>от 05</w:t>
      </w:r>
      <w:r w:rsidRPr="002F0964">
        <w:rPr>
          <w:sz w:val="20"/>
          <w:szCs w:val="20"/>
        </w:rPr>
        <w:t>.</w:t>
      </w:r>
      <w:r>
        <w:rPr>
          <w:sz w:val="20"/>
          <w:szCs w:val="20"/>
        </w:rPr>
        <w:t>12</w:t>
      </w:r>
      <w:r w:rsidRPr="002F0964">
        <w:rPr>
          <w:sz w:val="20"/>
          <w:szCs w:val="20"/>
        </w:rPr>
        <w:t>.2022</w:t>
      </w:r>
      <w:r>
        <w:rPr>
          <w:sz w:val="20"/>
          <w:szCs w:val="20"/>
        </w:rPr>
        <w:t xml:space="preserve"> </w:t>
      </w:r>
      <w:r w:rsidRPr="002F0964">
        <w:rPr>
          <w:sz w:val="20"/>
          <w:szCs w:val="20"/>
        </w:rPr>
        <w:t>г. №16-</w:t>
      </w:r>
      <w:r>
        <w:rPr>
          <w:sz w:val="20"/>
          <w:szCs w:val="20"/>
        </w:rPr>
        <w:t>50-45-2022</w:t>
      </w:r>
      <w:r w:rsidRPr="00522D0D">
        <w:rPr>
          <w:sz w:val="20"/>
          <w:szCs w:val="20"/>
        </w:rPr>
        <w:t xml:space="preserve">, выдано Исполнительным комитетом </w:t>
      </w:r>
      <w:r>
        <w:rPr>
          <w:sz w:val="20"/>
          <w:szCs w:val="20"/>
        </w:rPr>
        <w:t>Муниципального образования города Казани</w:t>
      </w:r>
      <w:r w:rsidRPr="00FB0BE1">
        <w:rPr>
          <w:sz w:val="20"/>
          <w:szCs w:val="20"/>
        </w:rPr>
        <w:t>.</w:t>
      </w:r>
    </w:p>
    <w:p w14:paraId="070D64E6" w14:textId="77777777" w:rsidR="006700A8" w:rsidRDefault="006700A8" w:rsidP="006700A8">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Разрешение на строительство</w:t>
      </w:r>
      <w:r w:rsidRPr="002F0964">
        <w:rPr>
          <w:sz w:val="20"/>
          <w:szCs w:val="20"/>
        </w:rPr>
        <w:t xml:space="preserve"> </w:t>
      </w:r>
      <w:r>
        <w:rPr>
          <w:sz w:val="20"/>
          <w:szCs w:val="20"/>
        </w:rPr>
        <w:t>от 05</w:t>
      </w:r>
      <w:r w:rsidRPr="002F0964">
        <w:rPr>
          <w:sz w:val="20"/>
          <w:szCs w:val="20"/>
        </w:rPr>
        <w:t>.</w:t>
      </w:r>
      <w:r>
        <w:rPr>
          <w:sz w:val="20"/>
          <w:szCs w:val="20"/>
        </w:rPr>
        <w:t>12</w:t>
      </w:r>
      <w:r w:rsidRPr="002F0964">
        <w:rPr>
          <w:sz w:val="20"/>
          <w:szCs w:val="20"/>
        </w:rPr>
        <w:t>.2022</w:t>
      </w:r>
      <w:r>
        <w:rPr>
          <w:sz w:val="20"/>
          <w:szCs w:val="20"/>
        </w:rPr>
        <w:t xml:space="preserve"> </w:t>
      </w:r>
      <w:r w:rsidRPr="002F0964">
        <w:rPr>
          <w:sz w:val="20"/>
          <w:szCs w:val="20"/>
        </w:rPr>
        <w:t>г. №16-</w:t>
      </w:r>
      <w:r>
        <w:rPr>
          <w:sz w:val="20"/>
          <w:szCs w:val="20"/>
        </w:rPr>
        <w:t>50-45-2022</w:t>
      </w:r>
      <w:r w:rsidRPr="00522D0D">
        <w:rPr>
          <w:sz w:val="20"/>
          <w:szCs w:val="20"/>
        </w:rPr>
        <w:t xml:space="preserve">, выдано Исполнительным комитетом </w:t>
      </w:r>
      <w:r>
        <w:rPr>
          <w:sz w:val="20"/>
          <w:szCs w:val="20"/>
        </w:rPr>
        <w:t>Муниципального образования города Казани с внесением изменений от 27.12.2022 г</w:t>
      </w:r>
      <w:r w:rsidRPr="00FB0BE1">
        <w:rPr>
          <w:sz w:val="20"/>
          <w:szCs w:val="20"/>
        </w:rPr>
        <w:t>.</w:t>
      </w:r>
    </w:p>
    <w:p w14:paraId="27E47D32" w14:textId="77777777" w:rsidR="006700A8" w:rsidRPr="00FB0BE1" w:rsidRDefault="006700A8" w:rsidP="006700A8">
      <w:pPr>
        <w:pStyle w:val="a6"/>
        <w:ind w:firstLine="709"/>
        <w:contextualSpacing/>
        <w:jc w:val="both"/>
        <w:rPr>
          <w:b w:val="0"/>
          <w:color w:val="00B0F0"/>
          <w:sz w:val="20"/>
          <w:highlight w:val="yellow"/>
        </w:rPr>
      </w:pPr>
      <w:r>
        <w:rPr>
          <w:b w:val="0"/>
          <w:sz w:val="20"/>
        </w:rPr>
        <w:t xml:space="preserve">- </w:t>
      </w:r>
      <w:r w:rsidRPr="002F0964">
        <w:rPr>
          <w:b w:val="0"/>
          <w:sz w:val="20"/>
        </w:rPr>
        <w:t>Положительное заключение негосударственной экспертизы проектной документации и результатов инженерных изысканий №16-2-1-3-0</w:t>
      </w:r>
      <w:r>
        <w:rPr>
          <w:b w:val="0"/>
          <w:sz w:val="20"/>
        </w:rPr>
        <w:t>82567</w:t>
      </w:r>
      <w:r w:rsidRPr="002F0964">
        <w:rPr>
          <w:b w:val="0"/>
          <w:sz w:val="20"/>
        </w:rPr>
        <w:t>-2022 от 2</w:t>
      </w:r>
      <w:r>
        <w:rPr>
          <w:b w:val="0"/>
          <w:sz w:val="20"/>
        </w:rPr>
        <w:t>5</w:t>
      </w:r>
      <w:r w:rsidRPr="002F0964">
        <w:rPr>
          <w:b w:val="0"/>
          <w:sz w:val="20"/>
        </w:rPr>
        <w:t>.</w:t>
      </w:r>
      <w:r>
        <w:rPr>
          <w:b w:val="0"/>
          <w:sz w:val="20"/>
        </w:rPr>
        <w:t>11</w:t>
      </w:r>
      <w:r w:rsidRPr="002F0964">
        <w:rPr>
          <w:b w:val="0"/>
          <w:sz w:val="20"/>
        </w:rPr>
        <w:t>.2022</w:t>
      </w:r>
      <w:r>
        <w:rPr>
          <w:b w:val="0"/>
          <w:sz w:val="20"/>
        </w:rPr>
        <w:t xml:space="preserve"> </w:t>
      </w:r>
      <w:r w:rsidRPr="002F0964">
        <w:rPr>
          <w:b w:val="0"/>
          <w:sz w:val="20"/>
        </w:rPr>
        <w:t>г</w:t>
      </w:r>
      <w:r w:rsidRPr="00BD4734">
        <w:rPr>
          <w:b w:val="0"/>
          <w:sz w:val="20"/>
        </w:rPr>
        <w:t>.</w:t>
      </w:r>
    </w:p>
    <w:p w14:paraId="03A3BAC0" w14:textId="3E034D49" w:rsidR="006700A8" w:rsidRDefault="006700A8" w:rsidP="006700A8">
      <w:pPr>
        <w:pStyle w:val="a6"/>
        <w:ind w:firstLine="708"/>
        <w:contextualSpacing/>
        <w:jc w:val="both"/>
        <w:rPr>
          <w:b w:val="0"/>
          <w:color w:val="000000"/>
          <w:sz w:val="20"/>
        </w:rPr>
      </w:pPr>
      <w:r w:rsidRPr="00C94677">
        <w:rPr>
          <w:b w:val="0"/>
          <w:sz w:val="20"/>
        </w:rPr>
        <w:t xml:space="preserve">- Проектная декларация по строительству объекта </w:t>
      </w:r>
      <w:r w:rsidRPr="001B287F">
        <w:rPr>
          <w:sz w:val="20"/>
          <w:highlight w:val="yellow"/>
        </w:rPr>
        <w:t>№</w:t>
      </w:r>
      <w:r w:rsidR="00734E00" w:rsidRPr="00734E00">
        <w:rPr>
          <w:sz w:val="20"/>
        </w:rPr>
        <w:t>________</w:t>
      </w:r>
      <w:r w:rsidRPr="0011311E">
        <w:rPr>
          <w:color w:val="000000"/>
          <w:sz w:val="20"/>
        </w:rPr>
        <w:t>.</w:t>
      </w:r>
      <w:r w:rsidRPr="00FB0BE1">
        <w:rPr>
          <w:b w:val="0"/>
          <w:color w:val="000000"/>
          <w:sz w:val="20"/>
        </w:rPr>
        <w:t xml:space="preserve"> </w:t>
      </w:r>
    </w:p>
    <w:p w14:paraId="3B400FD6" w14:textId="77777777" w:rsidR="006700A8" w:rsidRDefault="006700A8" w:rsidP="006700A8">
      <w:pPr>
        <w:pStyle w:val="ConsPlusNormal"/>
        <w:ind w:firstLine="709"/>
        <w:contextualSpacing/>
        <w:jc w:val="both"/>
        <w:rPr>
          <w:rFonts w:ascii="Times New Roman" w:hAnsi="Times New Roman" w:cs="Times New Roman"/>
          <w:lang w:eastAsia="ar-SA"/>
        </w:rPr>
      </w:pPr>
      <w:r w:rsidRPr="00DA2F77">
        <w:rPr>
          <w:rFonts w:ascii="Times New Roman" w:hAnsi="Times New Roman" w:cs="Times New Roman"/>
          <w:lang w:eastAsia="ar-SA"/>
        </w:rPr>
        <w:t>Результаты инженерных изысканий соответствуют требованиям технических регламентов и иным установленным требованиям.</w:t>
      </w:r>
      <w:r>
        <w:rPr>
          <w:rFonts w:ascii="Times New Roman" w:hAnsi="Times New Roman" w:cs="Times New Roman"/>
          <w:lang w:eastAsia="ar-SA"/>
        </w:rPr>
        <w:t xml:space="preserve"> </w:t>
      </w:r>
      <w:r w:rsidRPr="00DA2F77">
        <w:rPr>
          <w:rFonts w:ascii="Times New Roman" w:hAnsi="Times New Roman" w:cs="Times New Roman"/>
          <w:lang w:eastAsia="ar-SA"/>
        </w:rPr>
        <w:t>Проектная документация по объекту соответствует результатам инженерных изысканий, выполненных для ее подготовки.</w:t>
      </w:r>
      <w:r>
        <w:rPr>
          <w:rFonts w:ascii="Times New Roman" w:hAnsi="Times New Roman" w:cs="Times New Roman"/>
          <w:lang w:eastAsia="ar-SA"/>
        </w:rPr>
        <w:t xml:space="preserve"> </w:t>
      </w:r>
      <w:r w:rsidRPr="00DA2F77">
        <w:rPr>
          <w:rFonts w:ascii="Times New Roman" w:hAnsi="Times New Roman" w:cs="Times New Roman"/>
          <w:lang w:eastAsia="ar-SA"/>
        </w:rPr>
        <w:t>Проектная документация объекта: «Жилой комплекс «Волжские просторы» 6-й пусковой комплекс, жилые дома 6.1, 6.4, 6.5 с наземным и подземным паркингами. Жилой дом 6.1 (I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23AC49CA" w14:textId="77777777" w:rsidR="006700A8" w:rsidRPr="003C2622" w:rsidRDefault="006700A8" w:rsidP="006700A8">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Default="006700A8" w:rsidP="006700A8">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3E3BDC58"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 xml:space="preserve">Срок передачи Объекта долевого строительства ДОЛЬЩИКУ – не позднее </w:t>
      </w:r>
      <w:r w:rsidR="006700A8" w:rsidRPr="00902860">
        <w:rPr>
          <w:rFonts w:ascii="Times New Roman" w:hAnsi="Times New Roman" w:cs="Times New Roman"/>
          <w:b/>
        </w:rPr>
        <w:t>«3</w:t>
      </w:r>
      <w:r w:rsidR="006700A8">
        <w:rPr>
          <w:rFonts w:ascii="Times New Roman" w:hAnsi="Times New Roman" w:cs="Times New Roman"/>
          <w:b/>
        </w:rPr>
        <w:t>0</w:t>
      </w:r>
      <w:r w:rsidR="006700A8" w:rsidRPr="00902860">
        <w:rPr>
          <w:rFonts w:ascii="Times New Roman" w:hAnsi="Times New Roman" w:cs="Times New Roman"/>
          <w:b/>
        </w:rPr>
        <w:t>» июня 2026 года.</w:t>
      </w:r>
    </w:p>
    <w:p w14:paraId="5948529A" w14:textId="777EA3A8" w:rsidR="0087689B" w:rsidRPr="00FB0BE1" w:rsidRDefault="00703F5A" w:rsidP="006700A8">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6700A8" w:rsidRPr="00CA3740">
        <w:rPr>
          <w:sz w:val="20"/>
          <w:szCs w:val="20"/>
        </w:rPr>
        <w:t>После окончания строи</w:t>
      </w:r>
      <w:r w:rsidR="006700A8">
        <w:rPr>
          <w:sz w:val="20"/>
          <w:szCs w:val="20"/>
        </w:rPr>
        <w:t xml:space="preserve">тельства и прекращения </w:t>
      </w:r>
      <w:r w:rsidR="006700A8" w:rsidRPr="005E209B">
        <w:rPr>
          <w:sz w:val="20"/>
          <w:szCs w:val="20"/>
        </w:rPr>
        <w:t>права субаренды</w:t>
      </w:r>
      <w:r w:rsidR="006700A8" w:rsidRPr="00CA3740">
        <w:rPr>
          <w:sz w:val="20"/>
          <w:szCs w:val="20"/>
        </w:rPr>
        <w:t xml:space="preserve"> Застройщика на земельный участок, расположенный </w:t>
      </w:r>
      <w:r w:rsidR="006700A8">
        <w:rPr>
          <w:sz w:val="20"/>
          <w:szCs w:val="20"/>
        </w:rPr>
        <w:t>по адресу: Республика Татарстан, МО «</w:t>
      </w:r>
      <w:proofErr w:type="spellStart"/>
      <w:r w:rsidR="006700A8">
        <w:rPr>
          <w:sz w:val="20"/>
          <w:szCs w:val="20"/>
        </w:rPr>
        <w:t>г.Казань</w:t>
      </w:r>
      <w:proofErr w:type="spellEnd"/>
      <w:r w:rsidR="006700A8">
        <w:rPr>
          <w:sz w:val="20"/>
          <w:szCs w:val="20"/>
        </w:rPr>
        <w:t xml:space="preserve">», г. Казань, Приволжский район, ул. Оренбургский тракт, </w:t>
      </w:r>
      <w:r w:rsidR="006700A8" w:rsidRPr="00CA3740">
        <w:rPr>
          <w:sz w:val="20"/>
          <w:szCs w:val="20"/>
        </w:rPr>
        <w:t xml:space="preserve">категория земель: земли населенных пунктов, кадастровый </w:t>
      </w:r>
      <w:r w:rsidR="006700A8">
        <w:rPr>
          <w:sz w:val="20"/>
          <w:szCs w:val="20"/>
        </w:rPr>
        <w:t>номер</w:t>
      </w:r>
      <w:r w:rsidR="006700A8" w:rsidRPr="00877AC1">
        <w:rPr>
          <w:sz w:val="20"/>
          <w:szCs w:val="20"/>
        </w:rPr>
        <w:t xml:space="preserve"> 16:50:171202:</w:t>
      </w:r>
      <w:r w:rsidR="006700A8">
        <w:rPr>
          <w:sz w:val="20"/>
          <w:szCs w:val="20"/>
        </w:rPr>
        <w:t>2974</w:t>
      </w:r>
      <w:r w:rsidR="006700A8"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6700A8"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1"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w:t>
      </w:r>
      <w:r>
        <w:rPr>
          <w:sz w:val="20"/>
          <w:szCs w:val="20"/>
        </w:rPr>
        <w:lastRenderedPageBreak/>
        <w:t xml:space="preserve">(Трех)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1"/>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03C4F548"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w:t>
      </w:r>
      <w:r w:rsidR="006700A8" w:rsidRPr="00376E44">
        <w:rPr>
          <w:noProof/>
          <w:sz w:val="20"/>
          <w:szCs w:val="20"/>
        </w:rPr>
        <w:t xml:space="preserve">«30» </w:t>
      </w:r>
      <w:r w:rsidR="006700A8">
        <w:rPr>
          <w:noProof/>
          <w:sz w:val="20"/>
          <w:szCs w:val="20"/>
        </w:rPr>
        <w:t>июня</w:t>
      </w:r>
      <w:r w:rsidR="006700A8" w:rsidRPr="00376E44">
        <w:rPr>
          <w:noProof/>
          <w:sz w:val="20"/>
          <w:szCs w:val="20"/>
        </w:rPr>
        <w:t xml:space="preserve"> 202</w:t>
      </w:r>
      <w:r w:rsidR="006700A8">
        <w:rPr>
          <w:noProof/>
          <w:sz w:val="20"/>
          <w:szCs w:val="20"/>
        </w:rPr>
        <w:t xml:space="preserve">6 года </w:t>
      </w:r>
      <w:r w:rsidRPr="00376E44">
        <w:rPr>
          <w:noProof/>
          <w:sz w:val="20"/>
          <w:szCs w:val="20"/>
        </w:rPr>
        <w:t>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w:t>
      </w:r>
      <w:r w:rsidRPr="00762514">
        <w:rPr>
          <w:sz w:val="20"/>
          <w:szCs w:val="20"/>
        </w:rPr>
        <w:lastRenderedPageBreak/>
        <w:t xml:space="preserve">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lastRenderedPageBreak/>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lastRenderedPageBreak/>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Надлежащим доказательством наличия обстоятельств непреодолимой силы являются справки Торгово-</w:t>
      </w:r>
      <w:r w:rsidRPr="00C2426B">
        <w:rPr>
          <w:sz w:val="20"/>
          <w:szCs w:val="20"/>
        </w:rPr>
        <w:lastRenderedPageBreak/>
        <w:t xml:space="preserve">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 xml:space="preserve">рех) дней с момента изменения. В случае неисполнения данной обязанности, уведомления, направленные по </w:t>
      </w:r>
      <w:r w:rsidRPr="003C2622">
        <w:rPr>
          <w:sz w:val="20"/>
          <w:szCs w:val="20"/>
        </w:rPr>
        <w:lastRenderedPageBreak/>
        <w:t>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3978BB12"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6700A8" w:rsidRPr="000301F2">
        <w:rPr>
          <w:b/>
          <w:sz w:val="20"/>
          <w:szCs w:val="20"/>
        </w:rPr>
        <w:t>ДОЛЬЩИК</w:t>
      </w:r>
      <w:r w:rsidR="006700A8" w:rsidRPr="000301F2">
        <w:rPr>
          <w:sz w:val="20"/>
          <w:szCs w:val="20"/>
        </w:rPr>
        <w:t xml:space="preserve"> уведомлен и согласен, что предоставленный для строительства Многоквартирного дома </w:t>
      </w:r>
      <w:r w:rsidR="006700A8" w:rsidRPr="000301F2">
        <w:rPr>
          <w:sz w:val="20"/>
        </w:rPr>
        <w:t xml:space="preserve">земельный участок, общей площадью </w:t>
      </w:r>
      <w:r w:rsidR="006700A8">
        <w:rPr>
          <w:sz w:val="20"/>
          <w:szCs w:val="20"/>
        </w:rPr>
        <w:t>16 191</w:t>
      </w:r>
      <w:r w:rsidR="006700A8" w:rsidRPr="000301F2">
        <w:rPr>
          <w:sz w:val="20"/>
          <w:szCs w:val="20"/>
        </w:rPr>
        <w:t xml:space="preserve"> </w:t>
      </w:r>
      <w:r w:rsidR="006700A8" w:rsidRPr="000301F2">
        <w:rPr>
          <w:sz w:val="20"/>
        </w:rPr>
        <w:t xml:space="preserve">кв. м., расположенный по адресу: </w:t>
      </w:r>
      <w:r w:rsidR="006700A8">
        <w:rPr>
          <w:sz w:val="20"/>
          <w:szCs w:val="20"/>
        </w:rPr>
        <w:t>Республика Татарстан</w:t>
      </w:r>
      <w:r w:rsidR="006700A8" w:rsidRPr="000301F2">
        <w:rPr>
          <w:sz w:val="20"/>
          <w:szCs w:val="20"/>
        </w:rPr>
        <w:t xml:space="preserve">, </w:t>
      </w:r>
      <w:r w:rsidR="006700A8">
        <w:rPr>
          <w:sz w:val="20"/>
          <w:szCs w:val="20"/>
        </w:rPr>
        <w:t xml:space="preserve">МО «г Казань», </w:t>
      </w:r>
      <w:r w:rsidR="006700A8" w:rsidRPr="000301F2">
        <w:rPr>
          <w:sz w:val="20"/>
          <w:szCs w:val="20"/>
        </w:rPr>
        <w:t xml:space="preserve">г. Казань, Приволжский район, ул. Оренбургский тракт, категория земель: земли населенных пунктов, кадастровый номер: </w:t>
      </w:r>
      <w:r w:rsidR="006700A8" w:rsidRPr="00660FA5">
        <w:rPr>
          <w:sz w:val="20"/>
          <w:szCs w:val="20"/>
        </w:rPr>
        <w:t>16:50:171202:2974</w:t>
      </w:r>
      <w:r w:rsidR="006700A8" w:rsidRPr="000301F2">
        <w:rPr>
          <w:sz w:val="20"/>
          <w:szCs w:val="20"/>
        </w:rPr>
        <w:t>, находится в залоге у уполномоченного банка, указанного в п.2.3 настоящего Договора.</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10F4DC3E" w:rsidR="0087689B" w:rsidRPr="004544FF" w:rsidRDefault="0087689B" w:rsidP="00FB0BE1">
      <w:pPr>
        <w:pStyle w:val="a6"/>
        <w:ind w:firstLine="709"/>
        <w:contextualSpacing/>
        <w:jc w:val="both"/>
        <w:rPr>
          <w:b w:val="0"/>
          <w:sz w:val="20"/>
        </w:rPr>
      </w:pPr>
      <w:r w:rsidRPr="004544FF">
        <w:rPr>
          <w:b w:val="0"/>
          <w:sz w:val="20"/>
        </w:rPr>
        <w:t xml:space="preserve">9.1. </w:t>
      </w:r>
      <w:r w:rsidR="006700A8" w:rsidRPr="00CC098A">
        <w:rPr>
          <w:b w:val="0"/>
          <w:sz w:val="20"/>
        </w:rPr>
        <w:t xml:space="preserve">В силу того, что расчеты по настоящему Договору осуществляются с использованием счетов </w:t>
      </w:r>
      <w:proofErr w:type="spellStart"/>
      <w:r w:rsidR="006700A8" w:rsidRPr="00CC098A">
        <w:rPr>
          <w:b w:val="0"/>
          <w:sz w:val="20"/>
        </w:rPr>
        <w:t>эскроу</w:t>
      </w:r>
      <w:proofErr w:type="spellEnd"/>
      <w:r w:rsidR="006700A8" w:rsidRPr="00CC098A">
        <w:rPr>
          <w:b w:val="0"/>
          <w:sz w:val="20"/>
        </w:rPr>
        <w:t xml:space="preserve">, залог в силу закона на предоставленный для строительства Многоквартирного дома земельный участок, </w:t>
      </w:r>
      <w:r w:rsidR="006700A8">
        <w:rPr>
          <w:b w:val="0"/>
          <w:sz w:val="20"/>
        </w:rPr>
        <w:t>общей площадью 16 191</w:t>
      </w:r>
      <w:r w:rsidR="006700A8" w:rsidRPr="000301F2">
        <w:rPr>
          <w:b w:val="0"/>
          <w:sz w:val="20"/>
        </w:rPr>
        <w:t xml:space="preserve"> кв. м., расположенный по адресу: Республика Татарстан, МО «</w:t>
      </w:r>
      <w:proofErr w:type="spellStart"/>
      <w:r w:rsidR="006700A8" w:rsidRPr="000301F2">
        <w:rPr>
          <w:b w:val="0"/>
          <w:sz w:val="20"/>
        </w:rPr>
        <w:t>г.Казань</w:t>
      </w:r>
      <w:proofErr w:type="spellEnd"/>
      <w:r w:rsidR="006700A8" w:rsidRPr="000301F2">
        <w:rPr>
          <w:b w:val="0"/>
          <w:sz w:val="20"/>
        </w:rPr>
        <w:t xml:space="preserve">», г. Казань, Приволжский район, ул. Оренбургский тракт, категория земель: земли населенных пунктов, кадастровый номер: </w:t>
      </w:r>
      <w:r w:rsidR="006700A8" w:rsidRPr="00660FA5">
        <w:rPr>
          <w:b w:val="0"/>
          <w:sz w:val="20"/>
        </w:rPr>
        <w:t>16:50:171202:2974</w:t>
      </w:r>
      <w:r w:rsidR="006700A8" w:rsidRPr="000301F2">
        <w:rPr>
          <w:b w:val="0"/>
          <w:sz w:val="20"/>
        </w:rPr>
        <w:t>,</w:t>
      </w:r>
      <w:r w:rsidR="006700A8" w:rsidRPr="00CC098A">
        <w:rPr>
          <w:b w:val="0"/>
          <w:sz w:val="20"/>
        </w:rPr>
        <w:t xml:space="preserve"> и строящийся на этом участке Многоквартирный дом на основании ч. 4 ст. 15.4 Федерального закона от 30.12.2014 г.</w:t>
      </w:r>
      <w:r w:rsidR="006700A8" w:rsidRPr="00BD4734">
        <w:rPr>
          <w:b w:val="0"/>
          <w:sz w:val="20"/>
        </w:rPr>
        <w:t xml:space="preserve"> №214-ФЗ, в пользу </w:t>
      </w:r>
      <w:r w:rsidR="006700A8" w:rsidRPr="006F7013">
        <w:rPr>
          <w:sz w:val="20"/>
        </w:rPr>
        <w:t>ДОЛЬЩИКА не устанавливается</w:t>
      </w:r>
      <w:r w:rsidR="006700A8"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6700A8" w:rsidRPr="00415E81" w14:paraId="5E583D50" w14:textId="77777777" w:rsidTr="00C4393F">
        <w:trPr>
          <w:trHeight w:val="2346"/>
        </w:trPr>
        <w:tc>
          <w:tcPr>
            <w:tcW w:w="5211" w:type="dxa"/>
          </w:tcPr>
          <w:p w14:paraId="704C445A" w14:textId="77777777" w:rsidR="006700A8" w:rsidRPr="00415E81" w:rsidRDefault="006700A8" w:rsidP="00C4393F">
            <w:pPr>
              <w:ind w:right="317" w:firstLine="0"/>
              <w:rPr>
                <w:b/>
                <w:bCs/>
                <w:sz w:val="20"/>
                <w:szCs w:val="20"/>
              </w:rPr>
            </w:pPr>
            <w:r w:rsidRPr="00415E81">
              <w:rPr>
                <w:b/>
                <w:bCs/>
                <w:sz w:val="20"/>
                <w:szCs w:val="20"/>
              </w:rPr>
              <w:t>ЗАСТРОЙЩИК:</w:t>
            </w:r>
          </w:p>
          <w:p w14:paraId="38E73060" w14:textId="77777777" w:rsidR="006700A8" w:rsidRPr="00415E81" w:rsidRDefault="006700A8" w:rsidP="00C4393F">
            <w:pPr>
              <w:ind w:right="317" w:firstLine="0"/>
              <w:rPr>
                <w:b/>
                <w:bCs/>
                <w:sz w:val="20"/>
                <w:szCs w:val="20"/>
              </w:rPr>
            </w:pPr>
            <w:r w:rsidRPr="00415E81">
              <w:rPr>
                <w:b/>
                <w:sz w:val="20"/>
                <w:szCs w:val="20"/>
              </w:rPr>
              <w:t>ООО «СЗ «</w:t>
            </w:r>
            <w:r>
              <w:rPr>
                <w:b/>
                <w:sz w:val="20"/>
                <w:szCs w:val="20"/>
              </w:rPr>
              <w:t>Волжский простор</w:t>
            </w:r>
            <w:r w:rsidRPr="00415E81">
              <w:rPr>
                <w:b/>
                <w:sz w:val="20"/>
                <w:szCs w:val="20"/>
              </w:rPr>
              <w:t>»</w:t>
            </w:r>
          </w:p>
          <w:p w14:paraId="18379A22"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2820DA3A"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Телефон/факс (843) 526-50-03, (843) 250-10-80</w:t>
            </w:r>
          </w:p>
          <w:p w14:paraId="0F60AEAD"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 xml:space="preserve">ИНН </w:t>
            </w:r>
            <w:r w:rsidRPr="00660FA5">
              <w:rPr>
                <w:rFonts w:eastAsia="Calibri"/>
                <w:sz w:val="20"/>
                <w:szCs w:val="20"/>
                <w:lang w:eastAsia="en-US"/>
              </w:rPr>
              <w:t>1655482935</w:t>
            </w:r>
            <w:r w:rsidRPr="00D70C42">
              <w:rPr>
                <w:rFonts w:eastAsia="Calibri"/>
                <w:sz w:val="20"/>
                <w:szCs w:val="20"/>
                <w:lang w:eastAsia="en-US"/>
              </w:rPr>
              <w:t xml:space="preserve">, КПП </w:t>
            </w:r>
            <w:r w:rsidRPr="00660FA5">
              <w:rPr>
                <w:rFonts w:eastAsia="Calibri"/>
                <w:sz w:val="20"/>
                <w:szCs w:val="20"/>
                <w:lang w:eastAsia="en-US"/>
              </w:rPr>
              <w:t>165501001</w:t>
            </w:r>
            <w:r w:rsidRPr="00D70C42">
              <w:rPr>
                <w:rFonts w:eastAsia="Calibri"/>
                <w:sz w:val="20"/>
                <w:szCs w:val="20"/>
                <w:lang w:eastAsia="en-US"/>
              </w:rPr>
              <w:t>,</w:t>
            </w:r>
          </w:p>
          <w:p w14:paraId="0B19E0E4" w14:textId="77777777" w:rsidR="006700A8" w:rsidRPr="0000358F" w:rsidRDefault="006700A8" w:rsidP="00C4393F">
            <w:pPr>
              <w:ind w:firstLine="0"/>
              <w:rPr>
                <w:rFonts w:eastAsia="Calibri"/>
                <w:sz w:val="20"/>
                <w:szCs w:val="20"/>
                <w:highlight w:val="yellow"/>
                <w:lang w:eastAsia="en-US"/>
              </w:rPr>
            </w:pPr>
            <w:r w:rsidRPr="00D70C42">
              <w:rPr>
                <w:rFonts w:eastAsia="Calibri"/>
                <w:sz w:val="20"/>
                <w:szCs w:val="20"/>
                <w:lang w:eastAsia="en-US"/>
              </w:rPr>
              <w:t xml:space="preserve">ОГРН </w:t>
            </w:r>
            <w:r w:rsidRPr="00660FA5">
              <w:rPr>
                <w:rFonts w:eastAsia="Calibri"/>
                <w:sz w:val="20"/>
                <w:szCs w:val="20"/>
                <w:lang w:eastAsia="en-US"/>
              </w:rPr>
              <w:t>1221600060549</w:t>
            </w:r>
            <w:r w:rsidRPr="00D70C42">
              <w:rPr>
                <w:rFonts w:eastAsia="Calibri"/>
                <w:sz w:val="20"/>
                <w:szCs w:val="20"/>
                <w:lang w:eastAsia="en-US"/>
              </w:rPr>
              <w:t xml:space="preserve"> </w:t>
            </w:r>
            <w:r w:rsidRPr="00724E17">
              <w:rPr>
                <w:rFonts w:eastAsia="Calibri"/>
                <w:sz w:val="20"/>
                <w:szCs w:val="20"/>
                <w:lang w:eastAsia="en-US"/>
              </w:rPr>
              <w:t>от 0</w:t>
            </w:r>
            <w:r>
              <w:rPr>
                <w:rFonts w:eastAsia="Calibri"/>
                <w:sz w:val="20"/>
                <w:szCs w:val="20"/>
                <w:lang w:eastAsia="en-US"/>
              </w:rPr>
              <w:t>3</w:t>
            </w:r>
            <w:r w:rsidRPr="00724E17">
              <w:rPr>
                <w:rFonts w:eastAsia="Calibri"/>
                <w:sz w:val="20"/>
                <w:szCs w:val="20"/>
                <w:lang w:eastAsia="en-US"/>
              </w:rPr>
              <w:t>.0</w:t>
            </w:r>
            <w:r>
              <w:rPr>
                <w:rFonts w:eastAsia="Calibri"/>
                <w:sz w:val="20"/>
                <w:szCs w:val="20"/>
                <w:lang w:eastAsia="en-US"/>
              </w:rPr>
              <w:t>8</w:t>
            </w:r>
            <w:r w:rsidRPr="00724E17">
              <w:rPr>
                <w:rFonts w:eastAsia="Calibri"/>
                <w:sz w:val="20"/>
                <w:szCs w:val="20"/>
                <w:lang w:eastAsia="en-US"/>
              </w:rPr>
              <w:t>.202</w:t>
            </w:r>
            <w:r>
              <w:rPr>
                <w:rFonts w:eastAsia="Calibri"/>
                <w:sz w:val="20"/>
                <w:szCs w:val="20"/>
                <w:lang w:eastAsia="en-US"/>
              </w:rPr>
              <w:t>2</w:t>
            </w:r>
            <w:r w:rsidRPr="00724E17">
              <w:rPr>
                <w:rFonts w:eastAsia="Calibri"/>
                <w:sz w:val="20"/>
                <w:szCs w:val="20"/>
                <w:lang w:eastAsia="en-US"/>
              </w:rPr>
              <w:t xml:space="preserve"> года</w:t>
            </w:r>
          </w:p>
          <w:p w14:paraId="7AD54D96"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 xml:space="preserve">Расчетный счет </w:t>
            </w:r>
            <w:r w:rsidRPr="003A4633">
              <w:rPr>
                <w:rFonts w:eastAsia="Calibri"/>
                <w:sz w:val="20"/>
                <w:szCs w:val="20"/>
                <w:lang w:eastAsia="en-US"/>
              </w:rPr>
              <w:t>4070</w:t>
            </w:r>
            <w:r>
              <w:rPr>
                <w:rFonts w:eastAsia="Calibri"/>
                <w:sz w:val="20"/>
                <w:szCs w:val="20"/>
                <w:lang w:eastAsia="en-US"/>
              </w:rPr>
              <w:t xml:space="preserve"> </w:t>
            </w:r>
            <w:r w:rsidRPr="003A4633">
              <w:rPr>
                <w:rFonts w:eastAsia="Calibri"/>
                <w:sz w:val="20"/>
                <w:szCs w:val="20"/>
                <w:lang w:eastAsia="en-US"/>
              </w:rPr>
              <w:t>2810</w:t>
            </w:r>
            <w:r>
              <w:rPr>
                <w:rFonts w:eastAsia="Calibri"/>
                <w:sz w:val="20"/>
                <w:szCs w:val="20"/>
                <w:lang w:eastAsia="en-US"/>
              </w:rPr>
              <w:t xml:space="preserve"> </w:t>
            </w:r>
            <w:r w:rsidRPr="003A4633">
              <w:rPr>
                <w:rFonts w:eastAsia="Calibri"/>
                <w:sz w:val="20"/>
                <w:szCs w:val="20"/>
                <w:lang w:eastAsia="en-US"/>
              </w:rPr>
              <w:t>2007</w:t>
            </w:r>
            <w:r>
              <w:rPr>
                <w:rFonts w:eastAsia="Calibri"/>
                <w:sz w:val="20"/>
                <w:szCs w:val="20"/>
                <w:lang w:eastAsia="en-US"/>
              </w:rPr>
              <w:t xml:space="preserve"> </w:t>
            </w:r>
            <w:r w:rsidRPr="003A4633">
              <w:rPr>
                <w:rFonts w:eastAsia="Calibri"/>
                <w:sz w:val="20"/>
                <w:szCs w:val="20"/>
                <w:lang w:eastAsia="en-US"/>
              </w:rPr>
              <w:t>1003</w:t>
            </w:r>
            <w:r>
              <w:rPr>
                <w:rFonts w:eastAsia="Calibri"/>
                <w:sz w:val="20"/>
                <w:szCs w:val="20"/>
                <w:lang w:eastAsia="en-US"/>
              </w:rPr>
              <w:t xml:space="preserve"> </w:t>
            </w:r>
            <w:r w:rsidRPr="003A4633">
              <w:rPr>
                <w:rFonts w:eastAsia="Calibri"/>
                <w:sz w:val="20"/>
                <w:szCs w:val="20"/>
                <w:lang w:eastAsia="en-US"/>
              </w:rPr>
              <w:t>0173</w:t>
            </w:r>
            <w:r w:rsidRPr="00D70C42">
              <w:rPr>
                <w:rFonts w:eastAsia="Calibri"/>
                <w:sz w:val="20"/>
                <w:szCs w:val="20"/>
                <w:lang w:eastAsia="en-US"/>
              </w:rPr>
              <w:t xml:space="preserve"> в</w:t>
            </w:r>
          </w:p>
          <w:p w14:paraId="640E6DA0"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АО «Банк ДОМ.РФ»</w:t>
            </w:r>
          </w:p>
          <w:p w14:paraId="18906FF7" w14:textId="77777777" w:rsidR="006700A8" w:rsidRPr="00D70C42" w:rsidRDefault="006700A8" w:rsidP="00C4393F">
            <w:pPr>
              <w:ind w:firstLine="0"/>
              <w:rPr>
                <w:rFonts w:eastAsia="Calibri"/>
                <w:sz w:val="20"/>
                <w:szCs w:val="20"/>
                <w:lang w:eastAsia="en-US"/>
              </w:rPr>
            </w:pPr>
            <w:r w:rsidRPr="00D70C42">
              <w:rPr>
                <w:sz w:val="20"/>
                <w:szCs w:val="20"/>
              </w:rPr>
              <w:t xml:space="preserve">Корреспондентский счёт </w:t>
            </w:r>
            <w:r w:rsidRPr="003A4633">
              <w:rPr>
                <w:rFonts w:eastAsia="Calibri"/>
                <w:sz w:val="20"/>
                <w:szCs w:val="20"/>
                <w:lang w:eastAsia="en-US"/>
              </w:rPr>
              <w:t>3010</w:t>
            </w:r>
            <w:r>
              <w:rPr>
                <w:rFonts w:eastAsia="Calibri"/>
                <w:sz w:val="20"/>
                <w:szCs w:val="20"/>
                <w:lang w:eastAsia="en-US"/>
              </w:rPr>
              <w:t xml:space="preserve"> </w:t>
            </w:r>
            <w:r w:rsidRPr="003A4633">
              <w:rPr>
                <w:rFonts w:eastAsia="Calibri"/>
                <w:sz w:val="20"/>
                <w:szCs w:val="20"/>
                <w:lang w:eastAsia="en-US"/>
              </w:rPr>
              <w:t>1810</w:t>
            </w:r>
            <w:r>
              <w:rPr>
                <w:rFonts w:eastAsia="Calibri"/>
                <w:sz w:val="20"/>
                <w:szCs w:val="20"/>
                <w:lang w:eastAsia="en-US"/>
              </w:rPr>
              <w:t xml:space="preserve"> </w:t>
            </w:r>
            <w:r w:rsidRPr="003A4633">
              <w:rPr>
                <w:rFonts w:eastAsia="Calibri"/>
                <w:sz w:val="20"/>
                <w:szCs w:val="20"/>
                <w:lang w:eastAsia="en-US"/>
              </w:rPr>
              <w:t>3452</w:t>
            </w:r>
            <w:r>
              <w:rPr>
                <w:rFonts w:eastAsia="Calibri"/>
                <w:sz w:val="20"/>
                <w:szCs w:val="20"/>
                <w:lang w:eastAsia="en-US"/>
              </w:rPr>
              <w:t xml:space="preserve"> </w:t>
            </w:r>
            <w:r w:rsidRPr="003A4633">
              <w:rPr>
                <w:rFonts w:eastAsia="Calibri"/>
                <w:sz w:val="20"/>
                <w:szCs w:val="20"/>
                <w:lang w:eastAsia="en-US"/>
              </w:rPr>
              <w:t>5000</w:t>
            </w:r>
            <w:r>
              <w:rPr>
                <w:rFonts w:eastAsia="Calibri"/>
                <w:sz w:val="20"/>
                <w:szCs w:val="20"/>
                <w:lang w:eastAsia="en-US"/>
              </w:rPr>
              <w:t xml:space="preserve"> </w:t>
            </w:r>
            <w:r w:rsidRPr="003A4633">
              <w:rPr>
                <w:rFonts w:eastAsia="Calibri"/>
                <w:sz w:val="20"/>
                <w:szCs w:val="20"/>
                <w:lang w:eastAsia="en-US"/>
              </w:rPr>
              <w:t>0266</w:t>
            </w:r>
          </w:p>
          <w:p w14:paraId="78240C3A" w14:textId="77777777" w:rsidR="006700A8" w:rsidRPr="00D70C42" w:rsidRDefault="006700A8" w:rsidP="00C4393F">
            <w:pPr>
              <w:ind w:firstLine="0"/>
              <w:rPr>
                <w:rFonts w:eastAsia="Calibri"/>
                <w:sz w:val="20"/>
                <w:szCs w:val="20"/>
                <w:lang w:eastAsia="en-US"/>
              </w:rPr>
            </w:pPr>
            <w:r w:rsidRPr="00D70C42">
              <w:rPr>
                <w:rFonts w:eastAsia="Calibri"/>
                <w:sz w:val="20"/>
                <w:szCs w:val="20"/>
                <w:lang w:eastAsia="en-US"/>
              </w:rPr>
              <w:t xml:space="preserve">БИК </w:t>
            </w:r>
            <w:r w:rsidRPr="003A4633">
              <w:rPr>
                <w:rFonts w:eastAsia="Calibri"/>
                <w:sz w:val="20"/>
                <w:szCs w:val="20"/>
                <w:lang w:eastAsia="en-US"/>
              </w:rPr>
              <w:t>044525266</w:t>
            </w:r>
          </w:p>
          <w:p w14:paraId="19F60170" w14:textId="77777777" w:rsidR="006700A8" w:rsidRPr="0000358F" w:rsidRDefault="006700A8" w:rsidP="00C4393F">
            <w:pPr>
              <w:ind w:left="2" w:right="-168"/>
              <w:rPr>
                <w:color w:val="000000"/>
                <w:sz w:val="20"/>
                <w:szCs w:val="20"/>
                <w:highlight w:val="yellow"/>
              </w:rPr>
            </w:pPr>
          </w:p>
          <w:p w14:paraId="0DA1DC9D" w14:textId="77777777" w:rsidR="006700A8" w:rsidRPr="003A4633" w:rsidRDefault="006700A8" w:rsidP="00C4393F">
            <w:pPr>
              <w:ind w:right="-168" w:firstLine="0"/>
              <w:rPr>
                <w:b/>
                <w:sz w:val="20"/>
                <w:szCs w:val="20"/>
                <w:highlight w:val="green"/>
              </w:rPr>
            </w:pPr>
            <w:r w:rsidRPr="003A4633">
              <w:rPr>
                <w:color w:val="000000"/>
                <w:sz w:val="20"/>
                <w:szCs w:val="20"/>
                <w:highlight w:val="green"/>
              </w:rPr>
              <w:t>_______________________/</w:t>
            </w:r>
            <w:r w:rsidRPr="003A4633">
              <w:rPr>
                <w:b/>
                <w:color w:val="000000"/>
                <w:sz w:val="20"/>
                <w:szCs w:val="20"/>
                <w:highlight w:val="green"/>
              </w:rPr>
              <w:t>Н.А. Чабаненко</w:t>
            </w:r>
            <w:r w:rsidRPr="003A4633">
              <w:rPr>
                <w:b/>
                <w:sz w:val="20"/>
                <w:szCs w:val="20"/>
                <w:highlight w:val="green"/>
              </w:rPr>
              <w:t>/</w:t>
            </w:r>
          </w:p>
          <w:p w14:paraId="15992BFC" w14:textId="77777777" w:rsidR="006700A8" w:rsidRPr="003A4633" w:rsidRDefault="006700A8" w:rsidP="00C4393F">
            <w:pPr>
              <w:ind w:right="-168" w:firstLine="0"/>
              <w:rPr>
                <w:sz w:val="16"/>
                <w:szCs w:val="20"/>
                <w:highlight w:val="green"/>
              </w:rPr>
            </w:pPr>
            <w:r w:rsidRPr="003A4633">
              <w:rPr>
                <w:sz w:val="16"/>
                <w:szCs w:val="20"/>
                <w:highlight w:val="green"/>
              </w:rPr>
              <w:t xml:space="preserve">действующая на основании </w:t>
            </w:r>
          </w:p>
          <w:p w14:paraId="303917D2" w14:textId="77777777" w:rsidR="006700A8" w:rsidRPr="003A4633" w:rsidRDefault="006700A8" w:rsidP="00C4393F">
            <w:pPr>
              <w:ind w:right="317" w:firstLine="0"/>
              <w:rPr>
                <w:b/>
                <w:sz w:val="16"/>
                <w:szCs w:val="20"/>
                <w:highlight w:val="green"/>
              </w:rPr>
            </w:pPr>
            <w:r w:rsidRPr="003A4633">
              <w:rPr>
                <w:sz w:val="16"/>
                <w:szCs w:val="20"/>
                <w:highlight w:val="green"/>
              </w:rPr>
              <w:t xml:space="preserve">Доверенности от </w:t>
            </w:r>
            <w:r>
              <w:rPr>
                <w:sz w:val="16"/>
                <w:szCs w:val="20"/>
                <w:highlight w:val="green"/>
              </w:rPr>
              <w:t>___________</w:t>
            </w:r>
            <w:r w:rsidRPr="003A4633">
              <w:rPr>
                <w:sz w:val="16"/>
                <w:szCs w:val="20"/>
                <w:highlight w:val="green"/>
              </w:rPr>
              <w:t xml:space="preserve"> года</w:t>
            </w:r>
            <w:r w:rsidRPr="003A4633">
              <w:rPr>
                <w:b/>
                <w:sz w:val="16"/>
                <w:szCs w:val="20"/>
                <w:highlight w:val="green"/>
              </w:rPr>
              <w:t xml:space="preserve"> </w:t>
            </w:r>
          </w:p>
          <w:p w14:paraId="1953B2C0" w14:textId="77777777" w:rsidR="006700A8" w:rsidRPr="00C510FC" w:rsidRDefault="006700A8" w:rsidP="00C4393F">
            <w:pPr>
              <w:ind w:right="317" w:firstLine="0"/>
              <w:rPr>
                <w:szCs w:val="20"/>
              </w:rPr>
            </w:pPr>
            <w:r w:rsidRPr="003A4633">
              <w:rPr>
                <w:sz w:val="16"/>
                <w:szCs w:val="20"/>
                <w:highlight w:val="green"/>
              </w:rPr>
              <w:t>М.П.</w:t>
            </w:r>
          </w:p>
        </w:tc>
        <w:tc>
          <w:tcPr>
            <w:tcW w:w="5154" w:type="dxa"/>
          </w:tcPr>
          <w:p w14:paraId="3AFD32F6" w14:textId="77777777" w:rsidR="006700A8" w:rsidRPr="00415E81" w:rsidRDefault="006700A8" w:rsidP="00C4393F">
            <w:pPr>
              <w:ind w:right="317" w:firstLine="0"/>
              <w:rPr>
                <w:b/>
                <w:sz w:val="20"/>
                <w:szCs w:val="20"/>
              </w:rPr>
            </w:pPr>
            <w:r w:rsidRPr="00415E81">
              <w:rPr>
                <w:b/>
                <w:sz w:val="20"/>
                <w:szCs w:val="20"/>
              </w:rPr>
              <w:t>ДОЛЬЩИК:</w:t>
            </w:r>
          </w:p>
          <w:p w14:paraId="1E98DE96" w14:textId="77777777" w:rsidR="006700A8" w:rsidRPr="00415E81" w:rsidRDefault="006700A8" w:rsidP="00C4393F">
            <w:pPr>
              <w:ind w:firstLine="0"/>
              <w:contextualSpacing/>
              <w:jc w:val="both"/>
              <w:rPr>
                <w:b/>
                <w:sz w:val="20"/>
                <w:szCs w:val="20"/>
              </w:rPr>
            </w:pPr>
            <w:r w:rsidRPr="00415E81">
              <w:rPr>
                <w:b/>
                <w:sz w:val="20"/>
                <w:szCs w:val="20"/>
              </w:rPr>
              <w:t>ФИО</w:t>
            </w:r>
          </w:p>
          <w:p w14:paraId="699FE473" w14:textId="77777777" w:rsidR="006700A8" w:rsidRPr="00415E81" w:rsidRDefault="006700A8" w:rsidP="00C4393F">
            <w:pPr>
              <w:contextualSpacing/>
              <w:rPr>
                <w:sz w:val="20"/>
                <w:szCs w:val="20"/>
                <w:lang w:val="en-US"/>
              </w:rPr>
            </w:pPr>
          </w:p>
          <w:p w14:paraId="360C0651" w14:textId="77777777" w:rsidR="006700A8" w:rsidRPr="00415E81" w:rsidRDefault="006700A8" w:rsidP="00C4393F">
            <w:pPr>
              <w:contextualSpacing/>
              <w:rPr>
                <w:sz w:val="20"/>
                <w:szCs w:val="20"/>
                <w:lang w:val="en-US"/>
              </w:rPr>
            </w:pPr>
          </w:p>
          <w:p w14:paraId="065B128B" w14:textId="77777777" w:rsidR="006700A8" w:rsidRPr="00415E81" w:rsidRDefault="006700A8" w:rsidP="00C4393F">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6EE30C0D" w14:textId="77777777" w:rsidR="006700A8" w:rsidRPr="00415E81" w:rsidRDefault="006700A8" w:rsidP="00C4393F">
            <w:pPr>
              <w:contextualSpacing/>
              <w:rPr>
                <w:b/>
                <w:sz w:val="20"/>
                <w:szCs w:val="20"/>
                <w:highlight w:val="yellow"/>
              </w:rPr>
            </w:pPr>
          </w:p>
          <w:p w14:paraId="17523959" w14:textId="77777777" w:rsidR="006700A8" w:rsidRPr="00415E81" w:rsidRDefault="006700A8" w:rsidP="00C4393F">
            <w:pPr>
              <w:contextualSpacing/>
              <w:rPr>
                <w:b/>
                <w:sz w:val="20"/>
                <w:szCs w:val="20"/>
                <w:highlight w:val="yellow"/>
              </w:rPr>
            </w:pPr>
          </w:p>
          <w:p w14:paraId="486ED117" w14:textId="77777777" w:rsidR="006700A8" w:rsidRPr="00415E81" w:rsidRDefault="006700A8" w:rsidP="00C4393F">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7777777" w:rsidR="000E6F46" w:rsidRDefault="000E6F46"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13DEF1E8" w14:textId="6AF5317A"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6BEC585E" w:rsidR="00611982" w:rsidRPr="00D327FB" w:rsidRDefault="000E6F46" w:rsidP="00FB0BE1">
            <w:pPr>
              <w:spacing w:line="240" w:lineRule="auto"/>
              <w:ind w:firstLine="0"/>
              <w:contextualSpacing/>
              <w:rPr>
                <w:b/>
                <w:bCs/>
                <w:sz w:val="20"/>
                <w:szCs w:val="20"/>
              </w:rPr>
            </w:pPr>
            <w:r w:rsidRPr="00D327FB">
              <w:rPr>
                <w:b/>
                <w:sz w:val="20"/>
                <w:szCs w:val="20"/>
              </w:rPr>
              <w:t>ООО «СЗ «</w:t>
            </w:r>
            <w:r>
              <w:rPr>
                <w:b/>
                <w:sz w:val="20"/>
                <w:szCs w:val="20"/>
              </w:rPr>
              <w:t>Сказочный лес</w:t>
            </w:r>
            <w:r w:rsidRPr="00D327FB">
              <w:rPr>
                <w:b/>
                <w:sz w:val="20"/>
                <w:szCs w:val="20"/>
              </w:rPr>
              <w:t>»</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77777777" w:rsidR="007C4C55" w:rsidRPr="00D327FB" w:rsidRDefault="007C4C55" w:rsidP="007C4C55">
            <w:pPr>
              <w:ind w:right="317" w:firstLine="0"/>
              <w:rPr>
                <w:b/>
                <w:sz w:val="16"/>
                <w:szCs w:val="20"/>
              </w:rPr>
            </w:pPr>
            <w:r w:rsidRPr="00D327FB">
              <w:rPr>
                <w:sz w:val="16"/>
                <w:szCs w:val="20"/>
              </w:rPr>
              <w:t>Доверенности от 12.08.2022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741B-D9D5-43D1-8CFC-F50F5B1A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5</cp:revision>
  <cp:lastPrinted>2022-07-15T10:49:00Z</cp:lastPrinted>
  <dcterms:created xsi:type="dcterms:W3CDTF">2023-06-15T08:12:00Z</dcterms:created>
  <dcterms:modified xsi:type="dcterms:W3CDTF">2023-06-15T10:40:00Z</dcterms:modified>
</cp:coreProperties>
</file>