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15D67BFF"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514B0C">
        <w:rPr>
          <w:sz w:val="24"/>
          <w:szCs w:val="24"/>
        </w:rPr>
        <w:t>«</w:t>
      </w:r>
      <w:r w:rsidR="00514B0C" w:rsidRPr="00531EC0">
        <w:rPr>
          <w:iCs/>
          <w:sz w:val="24"/>
          <w:szCs w:val="24"/>
        </w:rPr>
        <w:t>Комплексная жилая застройка с объектами социальной и инженерной инфраструктуры по адресу: г. Хабаровск, пер.</w:t>
      </w:r>
      <w:r w:rsidR="00514B0C">
        <w:rPr>
          <w:iCs/>
          <w:sz w:val="24"/>
          <w:szCs w:val="24"/>
        </w:rPr>
        <w:t xml:space="preserve"> </w:t>
      </w:r>
      <w:r w:rsidR="00514B0C" w:rsidRPr="00531EC0">
        <w:rPr>
          <w:iCs/>
          <w:sz w:val="24"/>
          <w:szCs w:val="24"/>
        </w:rPr>
        <w:t>Брянский, д. 3. Первая очередь строительства</w:t>
      </w:r>
      <w:r w:rsidR="00514B0C">
        <w:rPr>
          <w:iCs/>
          <w:sz w:val="24"/>
          <w:szCs w:val="24"/>
        </w:rPr>
        <w:t>».</w:t>
      </w:r>
      <w:r w:rsidR="00514B0C" w:rsidRPr="00B56F77">
        <w:rPr>
          <w:iCs/>
          <w:sz w:val="24"/>
          <w:szCs w:val="24"/>
        </w:rPr>
        <w:t xml:space="preserve"> Корпус </w:t>
      </w:r>
      <w:r w:rsidR="00514B0C">
        <w:rPr>
          <w:iCs/>
          <w:sz w:val="24"/>
          <w:szCs w:val="24"/>
        </w:rPr>
        <w:t>3</w:t>
      </w:r>
      <w:r w:rsidR="00514B0C" w:rsidRPr="00B56F77">
        <w:rPr>
          <w:iCs/>
          <w:sz w:val="24"/>
          <w:szCs w:val="24"/>
        </w:rPr>
        <w:t xml:space="preserve"> - </w:t>
      </w:r>
      <w:r w:rsidR="00514B0C">
        <w:rPr>
          <w:iCs/>
          <w:sz w:val="24"/>
          <w:szCs w:val="24"/>
        </w:rPr>
        <w:t>1</w:t>
      </w:r>
      <w:r w:rsidR="00514B0C" w:rsidRPr="00B56F77">
        <w:rPr>
          <w:iCs/>
          <w:sz w:val="24"/>
          <w:szCs w:val="24"/>
        </w:rPr>
        <w:t>-секционный многоквартирный жилой дом</w:t>
      </w:r>
      <w:r w:rsidR="00514B0C">
        <w:rPr>
          <w:iCs/>
          <w:sz w:val="24"/>
          <w:szCs w:val="24"/>
        </w:rPr>
        <w:t xml:space="preserve"> </w:t>
      </w:r>
      <w:r w:rsidR="00514B0C" w:rsidRPr="00B56F77">
        <w:rPr>
          <w:iCs/>
          <w:sz w:val="24"/>
          <w:szCs w:val="24"/>
        </w:rPr>
        <w:t xml:space="preserve">с хоз. кладовыми в подвальном этаже и нежилыми помещениями коммерческого использования на 1 этаже, </w:t>
      </w:r>
      <w:r w:rsidR="00514B0C" w:rsidRPr="00083C45">
        <w:rPr>
          <w:iCs/>
          <w:sz w:val="24"/>
          <w:szCs w:val="24"/>
        </w:rPr>
        <w:t xml:space="preserve">количество этажей - 11 (из них 10 наземных и 1 </w:t>
      </w:r>
      <w:r w:rsidR="00514B0C" w:rsidRPr="00CB2C85">
        <w:rPr>
          <w:iCs/>
          <w:sz w:val="24"/>
          <w:szCs w:val="24"/>
        </w:rPr>
        <w:t>подземный</w:t>
      </w:r>
      <w:r w:rsidR="00514B0C">
        <w:rPr>
          <w:iCs/>
          <w:sz w:val="24"/>
          <w:szCs w:val="24"/>
        </w:rPr>
        <w:t xml:space="preserve">), </w:t>
      </w:r>
      <w:r w:rsidR="00514B0C" w:rsidRPr="00CB2C85">
        <w:rPr>
          <w:iCs/>
          <w:sz w:val="24"/>
          <w:szCs w:val="24"/>
        </w:rPr>
        <w:t xml:space="preserve">общая площадь здания – </w:t>
      </w:r>
      <w:r w:rsidR="00514B0C">
        <w:rPr>
          <w:iCs/>
          <w:sz w:val="24"/>
          <w:szCs w:val="24"/>
        </w:rPr>
        <w:t>6969,07</w:t>
      </w:r>
      <w:r w:rsidR="00514B0C"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514B0C">
        <w:rPr>
          <w:iCs/>
          <w:sz w:val="24"/>
          <w:szCs w:val="24"/>
        </w:rPr>
        <w:t xml:space="preserve"> </w:t>
      </w:r>
      <w:r w:rsidR="00514B0C"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514B0C">
        <w:rPr>
          <w:iCs/>
          <w:sz w:val="24"/>
          <w:szCs w:val="24"/>
        </w:rPr>
        <w:t>А</w:t>
      </w:r>
      <w:r w:rsidR="00514B0C" w:rsidRPr="00CB2C85">
        <w:rPr>
          <w:iCs/>
          <w:sz w:val="24"/>
          <w:szCs w:val="24"/>
        </w:rPr>
        <w:t xml:space="preserve">. Строительный адрес: Россия, </w:t>
      </w:r>
      <w:r w:rsidR="00AB51AB" w:rsidRPr="00AB51AB">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AB51AB">
        <w:rPr>
          <w:iCs/>
          <w:sz w:val="24"/>
          <w:szCs w:val="24"/>
        </w:rPr>
        <w:t>3</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3979C94F" w14:textId="77777777" w:rsidR="00E626D1" w:rsidRPr="00E626D1" w:rsidRDefault="00E626D1" w:rsidP="00E626D1">
      <w:pPr>
        <w:ind w:left="720" w:hanging="11"/>
        <w:jc w:val="both"/>
        <w:rPr>
          <w:sz w:val="24"/>
          <w:szCs w:val="24"/>
        </w:rPr>
      </w:pPr>
      <w:r w:rsidRPr="00E626D1">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E626D1">
        <w:rPr>
          <w:sz w:val="24"/>
          <w:szCs w:val="24"/>
        </w:rPr>
        <w:t>Роскадастр</w:t>
      </w:r>
      <w:proofErr w:type="spellEnd"/>
      <w:r w:rsidRPr="00E626D1">
        <w:rPr>
          <w:sz w:val="24"/>
          <w:szCs w:val="24"/>
        </w:rPr>
        <w:t xml:space="preserve">» по Хабаровскому краю, дата государственной регистрации 27.04.2023 номер государственной регистрации: №27:23:0000000:33115-27/020/2023-5. </w:t>
      </w:r>
    </w:p>
    <w:p w14:paraId="1FBB8F9B" w14:textId="77777777" w:rsidR="00E626D1" w:rsidRPr="00E626D1" w:rsidRDefault="00E626D1" w:rsidP="00E626D1">
      <w:pPr>
        <w:ind w:left="720" w:hanging="11"/>
        <w:jc w:val="both"/>
        <w:rPr>
          <w:sz w:val="24"/>
          <w:szCs w:val="24"/>
        </w:rPr>
      </w:pPr>
      <w:r w:rsidRPr="00E626D1">
        <w:rPr>
          <w:sz w:val="24"/>
          <w:szCs w:val="24"/>
        </w:rPr>
        <w:t xml:space="preserve">Земельный участок площадью 19 737 </w:t>
      </w:r>
      <w:proofErr w:type="spellStart"/>
      <w:r w:rsidRPr="00E626D1">
        <w:rPr>
          <w:sz w:val="24"/>
          <w:szCs w:val="24"/>
        </w:rPr>
        <w:t>кв.м</w:t>
      </w:r>
      <w:proofErr w:type="spellEnd"/>
      <w:r w:rsidRPr="00E626D1">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64444243" w14:textId="77777777" w:rsidR="00E626D1" w:rsidRPr="00E626D1" w:rsidRDefault="00E626D1" w:rsidP="00E626D1">
      <w:pPr>
        <w:ind w:left="720" w:hanging="11"/>
        <w:jc w:val="both"/>
        <w:rPr>
          <w:sz w:val="24"/>
          <w:szCs w:val="24"/>
        </w:rPr>
      </w:pPr>
      <w:r w:rsidRPr="00E626D1">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58EB3BD" w14:textId="5B11CEB3" w:rsidR="00954321" w:rsidRDefault="00E626D1" w:rsidP="00E626D1">
      <w:pPr>
        <w:ind w:left="720" w:hanging="11"/>
        <w:jc w:val="both"/>
        <w:rPr>
          <w:sz w:val="24"/>
          <w:szCs w:val="24"/>
        </w:rPr>
      </w:pPr>
      <w:r w:rsidRPr="00E626D1">
        <w:rPr>
          <w:sz w:val="24"/>
          <w:szCs w:val="24"/>
        </w:rPr>
        <w:t>- Проектная декларация размещена в сети Интернет: в Единой информационной системе жилищного строительства.</w:t>
      </w:r>
    </w:p>
    <w:p w14:paraId="3F588FA0" w14:textId="77777777" w:rsidR="006F30A7" w:rsidRDefault="006F30A7" w:rsidP="00954321">
      <w:pPr>
        <w:ind w:left="720" w:hanging="11"/>
        <w:jc w:val="both"/>
        <w:rPr>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r w:rsidR="00306831" w:rsidRPr="00954321">
        <w:rPr>
          <w:b/>
          <w:iCs/>
          <w:sz w:val="24"/>
          <w:szCs w:val="24"/>
        </w:rPr>
        <w:t>ХХ</w:t>
      </w:r>
      <w:r w:rsidR="0063439C" w:rsidRPr="00954321">
        <w:rPr>
          <w:b/>
          <w:iCs/>
          <w:sz w:val="24"/>
          <w:szCs w:val="24"/>
        </w:rPr>
        <w:t>,</w:t>
      </w:r>
      <w:r w:rsidR="00306831" w:rsidRPr="00954321">
        <w:rPr>
          <w:b/>
          <w:iCs/>
          <w:sz w:val="24"/>
          <w:szCs w:val="24"/>
        </w:rPr>
        <w:t>ХХ</w:t>
      </w:r>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r w:rsidR="00306831" w:rsidRPr="00954321">
        <w:rPr>
          <w:b/>
          <w:iCs/>
          <w:sz w:val="24"/>
          <w:szCs w:val="24"/>
        </w:rPr>
        <w:t>ХХ,ХХ</w:t>
      </w:r>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t>проектная площадь помещений вспомогательного</w:t>
      </w:r>
      <w:r w:rsidRPr="000928BE">
        <w:rPr>
          <w:iCs/>
          <w:sz w:val="24"/>
          <w:szCs w:val="24"/>
        </w:rPr>
        <w:t xml:space="preserve">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0928BE">
        <w:rPr>
          <w:sz w:val="24"/>
          <w:szCs w:val="24"/>
        </w:rPr>
        <w:lastRenderedPageBreak/>
        <w:t>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0928BE">
        <w:rPr>
          <w:sz w:val="24"/>
          <w:szCs w:val="24"/>
        </w:rPr>
        <w:t>кв.м</w:t>
      </w:r>
      <w:proofErr w:type="spell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0928BE">
        <w:rPr>
          <w:sz w:val="24"/>
          <w:szCs w:val="24"/>
        </w:rPr>
        <w:t>кв.м</w:t>
      </w:r>
      <w:proofErr w:type="spell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 xml:space="preserve">УЧАСТНИК ДОЛЕВОГО </w:t>
      </w:r>
      <w:r w:rsidR="00AD085D" w:rsidRPr="00AD085D">
        <w:rPr>
          <w:sz w:val="24"/>
          <w:szCs w:val="24"/>
        </w:rPr>
        <w:lastRenderedPageBreak/>
        <w:t>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w:t>
      </w:r>
      <w:r w:rsidRPr="002D3CA0">
        <w:rPr>
          <w:iCs/>
          <w:sz w:val="24"/>
          <w:szCs w:val="24"/>
        </w:rPr>
        <w:lastRenderedPageBreak/>
        <w:t xml:space="preserve">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lastRenderedPageBreak/>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w:t>
      </w:r>
      <w:r w:rsidRPr="002B63AD">
        <w:rPr>
          <w:sz w:val="24"/>
          <w:szCs w:val="24"/>
        </w:rPr>
        <w:lastRenderedPageBreak/>
        <w:t>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lastRenderedPageBreak/>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w:t>
      </w:r>
      <w:r w:rsidRPr="000928BE">
        <w:rPr>
          <w:sz w:val="24"/>
          <w:szCs w:val="24"/>
        </w:rPr>
        <w:lastRenderedPageBreak/>
        <w:t>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w:t>
      </w:r>
      <w:r w:rsidRPr="0011742A">
        <w:rPr>
          <w:sz w:val="24"/>
          <w:szCs w:val="24"/>
          <w:lang w:eastAsia="en-US"/>
        </w:rPr>
        <w:lastRenderedPageBreak/>
        <w:t xml:space="preserve">предоставленным контактным данным информировать его о ходе исполнения Договора путем осуществления звонков, направления </w:t>
      </w:r>
      <w:proofErr w:type="spellStart"/>
      <w:r w:rsidRPr="0011742A">
        <w:rPr>
          <w:sz w:val="24"/>
          <w:szCs w:val="24"/>
          <w:lang w:eastAsia="en-US"/>
        </w:rPr>
        <w:t>СМС-сообщений</w:t>
      </w:r>
      <w:proofErr w:type="spellEnd"/>
      <w:r w:rsidRPr="0011742A">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68C8C681" w14:textId="7DD0D71F" w:rsidR="00975AD3" w:rsidRDefault="00975AD3" w:rsidP="008062F9">
            <w:pPr>
              <w:ind w:left="-108"/>
              <w:rPr>
                <w:sz w:val="24"/>
                <w:szCs w:val="24"/>
              </w:rPr>
            </w:pPr>
          </w:p>
          <w:p w14:paraId="1ED10CD9" w14:textId="7554AA14" w:rsidR="00514B0C" w:rsidRPr="000928BE" w:rsidRDefault="00514B0C"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7802B4E9" w14:textId="14CDC1BF" w:rsidR="002C02F2" w:rsidRDefault="00F86383" w:rsidP="00454EE9">
            <w:pPr>
              <w:tabs>
                <w:tab w:val="left" w:pos="4253"/>
              </w:tabs>
              <w:rPr>
                <w:iCs/>
                <w:sz w:val="24"/>
                <w:szCs w:val="24"/>
              </w:rPr>
            </w:pPr>
            <w:r w:rsidRPr="00CB2C85">
              <w:rPr>
                <w:iCs/>
                <w:sz w:val="24"/>
                <w:szCs w:val="24"/>
              </w:rPr>
              <w:t xml:space="preserve">Россия, </w:t>
            </w:r>
            <w:r w:rsidR="002C02F2" w:rsidRPr="002C02F2">
              <w:rPr>
                <w:iCs/>
                <w:sz w:val="24"/>
                <w:szCs w:val="24"/>
              </w:rPr>
              <w:t xml:space="preserve">Хабаровский край, городской округ "Город Хабаровск", Железнодорожный район, </w:t>
            </w:r>
            <w:r w:rsidR="002C02F2" w:rsidRPr="002C02F2">
              <w:rPr>
                <w:iCs/>
                <w:sz w:val="24"/>
                <w:szCs w:val="24"/>
              </w:rPr>
              <w:lastRenderedPageBreak/>
              <w:t xml:space="preserve">город Хабаровск, переулок Брянский, дом 3. Корпус </w:t>
            </w:r>
            <w:r w:rsidR="002C02F2">
              <w:rPr>
                <w:iCs/>
                <w:sz w:val="24"/>
                <w:szCs w:val="24"/>
              </w:rPr>
              <w:t>3</w:t>
            </w:r>
          </w:p>
          <w:p w14:paraId="234D5CF4" w14:textId="484E1EDC"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lastRenderedPageBreak/>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lastRenderedPageBreak/>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66788816" w14:textId="77777777" w:rsidR="00B41923" w:rsidRPr="00B441D9" w:rsidRDefault="00B41923" w:rsidP="00B41923">
      <w:pPr>
        <w:tabs>
          <w:tab w:val="left" w:pos="4253"/>
        </w:tabs>
        <w:jc w:val="center"/>
        <w:rPr>
          <w:b/>
          <w:sz w:val="24"/>
          <w:szCs w:val="24"/>
        </w:rPr>
      </w:pPr>
      <w:r w:rsidRPr="00B441D9">
        <w:rPr>
          <w:b/>
          <w:sz w:val="24"/>
          <w:szCs w:val="24"/>
        </w:rPr>
        <w:lastRenderedPageBreak/>
        <w:t>План</w:t>
      </w:r>
    </w:p>
    <w:p w14:paraId="3909A788" w14:textId="77777777" w:rsidR="00B41923" w:rsidRPr="00B441D9" w:rsidRDefault="00B41923" w:rsidP="00B41923">
      <w:pPr>
        <w:tabs>
          <w:tab w:val="left" w:pos="4253"/>
        </w:tabs>
        <w:jc w:val="center"/>
        <w:rPr>
          <w:b/>
          <w:sz w:val="24"/>
          <w:szCs w:val="24"/>
        </w:rPr>
      </w:pPr>
    </w:p>
    <w:p w14:paraId="426CE9B1" w14:textId="5A74A26D" w:rsidR="00B41923" w:rsidRPr="00B441D9" w:rsidRDefault="00514B0C" w:rsidP="00B41923">
      <w:pPr>
        <w:tabs>
          <w:tab w:val="left" w:pos="4253"/>
        </w:tabs>
        <w:jc w:val="center"/>
        <w:rPr>
          <w:b/>
          <w:sz w:val="24"/>
          <w:szCs w:val="24"/>
        </w:rPr>
      </w:pPr>
      <w:r>
        <w:rPr>
          <w:noProof/>
        </w:rPr>
        <w:drawing>
          <wp:inline distT="0" distB="0" distL="0" distR="0" wp14:anchorId="478814D3" wp14:editId="6B4BEB87">
            <wp:extent cx="6480810" cy="2889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2889885"/>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F07ED7">
        <w:rPr>
          <w:sz w:val="24"/>
          <w:szCs w:val="24"/>
        </w:rPr>
        <w:t>сантехоборудования</w:t>
      </w:r>
      <w:proofErr w:type="spellEnd"/>
      <w:r w:rsidRPr="00F07ED7">
        <w:rPr>
          <w:sz w:val="24"/>
          <w:szCs w:val="24"/>
        </w:rPr>
        <w:t xml:space="preserve">. </w:t>
      </w:r>
    </w:p>
    <w:p w14:paraId="430C5D49" w14:textId="77777777" w:rsidR="0068255C" w:rsidRPr="00F07ED7" w:rsidRDefault="0068255C" w:rsidP="0068255C">
      <w:pPr>
        <w:pStyle w:val="aff3"/>
        <w:numPr>
          <w:ilvl w:val="0"/>
          <w:numId w:val="44"/>
        </w:numPr>
        <w:jc w:val="both"/>
        <w:rPr>
          <w:sz w:val="24"/>
          <w:szCs w:val="24"/>
        </w:rPr>
      </w:pPr>
      <w:proofErr w:type="spellStart"/>
      <w:r w:rsidRPr="00F07ED7">
        <w:rPr>
          <w:sz w:val="24"/>
          <w:szCs w:val="24"/>
        </w:rPr>
        <w:t>Сантехоборудование</w:t>
      </w:r>
      <w:proofErr w:type="spellEnd"/>
      <w:r w:rsidRPr="00F07ED7">
        <w:rPr>
          <w:sz w:val="24"/>
          <w:szCs w:val="24"/>
        </w:rPr>
        <w:t xml:space="preserve">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E013" w14:textId="77777777" w:rsidR="00927B39" w:rsidRDefault="00927B39">
      <w:r>
        <w:separator/>
      </w:r>
    </w:p>
  </w:endnote>
  <w:endnote w:type="continuationSeparator" w:id="0">
    <w:p w14:paraId="5A81B262" w14:textId="77777777" w:rsidR="00927B39" w:rsidRDefault="0092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5E22" w14:textId="77777777" w:rsidR="00927B39" w:rsidRDefault="00927B39">
      <w:r>
        <w:separator/>
      </w:r>
    </w:p>
  </w:footnote>
  <w:footnote w:type="continuationSeparator" w:id="0">
    <w:p w14:paraId="58E06862" w14:textId="77777777" w:rsidR="00927B39" w:rsidRDefault="0092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1C30"/>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0F3B08"/>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B6AF4"/>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2F2"/>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4B0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1DE"/>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27B39"/>
    <w:rsid w:val="009310EF"/>
    <w:rsid w:val="00931635"/>
    <w:rsid w:val="00932862"/>
    <w:rsid w:val="00934C08"/>
    <w:rsid w:val="009365DF"/>
    <w:rsid w:val="00937B10"/>
    <w:rsid w:val="00940311"/>
    <w:rsid w:val="00940473"/>
    <w:rsid w:val="00941561"/>
    <w:rsid w:val="00943321"/>
    <w:rsid w:val="00944CD2"/>
    <w:rsid w:val="00944FAA"/>
    <w:rsid w:val="00945211"/>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D7B14"/>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B51AB"/>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173FE"/>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28F"/>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6D1"/>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5885</Words>
  <Characters>33549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17</cp:revision>
  <cp:lastPrinted>2017-02-27T11:20:00Z</cp:lastPrinted>
  <dcterms:created xsi:type="dcterms:W3CDTF">2023-04-26T10:54:00Z</dcterms:created>
  <dcterms:modified xsi:type="dcterms:W3CDTF">2023-05-17T14:29:00Z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