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0773EC85"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FF1038">
              <w:rPr>
                <w:sz w:val="24"/>
                <w:szCs w:val="24"/>
              </w:rPr>
              <w:t>Хабаровск</w:t>
            </w:r>
          </w:p>
        </w:tc>
        <w:tc>
          <w:tcPr>
            <w:tcW w:w="5813" w:type="dxa"/>
          </w:tcPr>
          <w:p w14:paraId="0674B051" w14:textId="414E3A28" w:rsidR="00DA0B4E" w:rsidRPr="000928BE" w:rsidRDefault="00FA6BF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FA6BF3">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4D373601" w:rsidR="006E0B7F" w:rsidRDefault="00FF1038" w:rsidP="00C37AF3">
      <w:pPr>
        <w:tabs>
          <w:tab w:val="right" w:pos="10065"/>
        </w:tabs>
        <w:ind w:firstLine="709"/>
        <w:jc w:val="both"/>
        <w:rPr>
          <w:sz w:val="24"/>
          <w:szCs w:val="24"/>
        </w:rPr>
      </w:pPr>
      <w:r>
        <w:rPr>
          <w:b/>
          <w:sz w:val="24"/>
          <w:szCs w:val="24"/>
        </w:rPr>
        <w:t>ООО</w:t>
      </w:r>
      <w:r w:rsidRPr="00FF1038">
        <w:rPr>
          <w:b/>
          <w:sz w:val="24"/>
          <w:szCs w:val="24"/>
        </w:rPr>
        <w:t xml:space="preserve"> </w:t>
      </w:r>
      <w:r w:rsidR="006357F4">
        <w:rPr>
          <w:b/>
          <w:bCs/>
          <w:sz w:val="24"/>
          <w:szCs w:val="24"/>
        </w:rPr>
        <w:t>«</w:t>
      </w:r>
      <w:r w:rsidRPr="00FF1038">
        <w:rPr>
          <w:b/>
          <w:sz w:val="24"/>
          <w:szCs w:val="24"/>
        </w:rPr>
        <w:t xml:space="preserve">СПЕЦИАЛИЗИРОВАННЫЙ ЗАСТРОЙЩИК </w:t>
      </w:r>
      <w:r w:rsidR="006357F4">
        <w:rPr>
          <w:b/>
          <w:bCs/>
          <w:sz w:val="24"/>
          <w:szCs w:val="24"/>
        </w:rPr>
        <w:t>«</w:t>
      </w:r>
      <w:r w:rsidRPr="00FF1038">
        <w:rPr>
          <w:b/>
          <w:sz w:val="24"/>
          <w:szCs w:val="24"/>
        </w:rPr>
        <w:t>ПРОЕКТ СТРОЙ</w:t>
      </w:r>
      <w:r w:rsidR="006357F4">
        <w:rPr>
          <w:b/>
          <w:bCs/>
          <w:sz w:val="24"/>
          <w:szCs w:val="24"/>
        </w:rPr>
        <w:t>»</w:t>
      </w:r>
      <w:r w:rsidR="006E0B7F" w:rsidRPr="00FF1038">
        <w:rPr>
          <w:sz w:val="24"/>
          <w:szCs w:val="24"/>
        </w:rPr>
        <w:t>,</w:t>
      </w:r>
      <w:r w:rsidR="006E0B7F">
        <w:rPr>
          <w:sz w:val="24"/>
          <w:szCs w:val="24"/>
        </w:rPr>
        <w:t xml:space="preserve"> 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15D67BFF" w:rsidR="00F14FE5" w:rsidRPr="00F14FE5"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 </w:t>
      </w:r>
      <w:r w:rsidR="00514B0C">
        <w:rPr>
          <w:sz w:val="24"/>
          <w:szCs w:val="24"/>
        </w:rPr>
        <w:t>«</w:t>
      </w:r>
      <w:r w:rsidR="00514B0C" w:rsidRPr="00531EC0">
        <w:rPr>
          <w:iCs/>
          <w:sz w:val="24"/>
          <w:szCs w:val="24"/>
        </w:rPr>
        <w:t>Комплексная жилая застройка с объектами социальной и инженерной инфраструктуры по адресу: г. Хабаровск, пер.</w:t>
      </w:r>
      <w:r w:rsidR="00514B0C">
        <w:rPr>
          <w:iCs/>
          <w:sz w:val="24"/>
          <w:szCs w:val="24"/>
        </w:rPr>
        <w:t xml:space="preserve"> </w:t>
      </w:r>
      <w:r w:rsidR="00514B0C" w:rsidRPr="00531EC0">
        <w:rPr>
          <w:iCs/>
          <w:sz w:val="24"/>
          <w:szCs w:val="24"/>
        </w:rPr>
        <w:t>Брянский, д. 3. Первая очередь строительства</w:t>
      </w:r>
      <w:r w:rsidR="00514B0C">
        <w:rPr>
          <w:iCs/>
          <w:sz w:val="24"/>
          <w:szCs w:val="24"/>
        </w:rPr>
        <w:t>».</w:t>
      </w:r>
      <w:r w:rsidR="00514B0C" w:rsidRPr="00B56F77">
        <w:rPr>
          <w:iCs/>
          <w:sz w:val="24"/>
          <w:szCs w:val="24"/>
        </w:rPr>
        <w:t xml:space="preserve"> Корпус </w:t>
      </w:r>
      <w:r w:rsidR="00514B0C">
        <w:rPr>
          <w:iCs/>
          <w:sz w:val="24"/>
          <w:szCs w:val="24"/>
        </w:rPr>
        <w:t>3</w:t>
      </w:r>
      <w:r w:rsidR="00514B0C" w:rsidRPr="00B56F77">
        <w:rPr>
          <w:iCs/>
          <w:sz w:val="24"/>
          <w:szCs w:val="24"/>
        </w:rPr>
        <w:t xml:space="preserve"> - </w:t>
      </w:r>
      <w:r w:rsidR="00514B0C">
        <w:rPr>
          <w:iCs/>
          <w:sz w:val="24"/>
          <w:szCs w:val="24"/>
        </w:rPr>
        <w:t>1</w:t>
      </w:r>
      <w:r w:rsidR="00514B0C" w:rsidRPr="00B56F77">
        <w:rPr>
          <w:iCs/>
          <w:sz w:val="24"/>
          <w:szCs w:val="24"/>
        </w:rPr>
        <w:t>-секционный многоквартирный жилой дом</w:t>
      </w:r>
      <w:r w:rsidR="00514B0C">
        <w:rPr>
          <w:iCs/>
          <w:sz w:val="24"/>
          <w:szCs w:val="24"/>
        </w:rPr>
        <w:t xml:space="preserve"> </w:t>
      </w:r>
      <w:r w:rsidR="00514B0C" w:rsidRPr="00B56F77">
        <w:rPr>
          <w:iCs/>
          <w:sz w:val="24"/>
          <w:szCs w:val="24"/>
        </w:rPr>
        <w:t xml:space="preserve">с хоз. кладовыми в подвальном этаже и нежилыми помещениями коммерческого использования на 1 этаже, </w:t>
      </w:r>
      <w:r w:rsidR="00514B0C" w:rsidRPr="00083C45">
        <w:rPr>
          <w:iCs/>
          <w:sz w:val="24"/>
          <w:szCs w:val="24"/>
        </w:rPr>
        <w:t xml:space="preserve">количество этажей - 11 (из них 10 наземных и 1 </w:t>
      </w:r>
      <w:r w:rsidR="00514B0C" w:rsidRPr="00CB2C85">
        <w:rPr>
          <w:iCs/>
          <w:sz w:val="24"/>
          <w:szCs w:val="24"/>
        </w:rPr>
        <w:t>подземный</w:t>
      </w:r>
      <w:r w:rsidR="00514B0C">
        <w:rPr>
          <w:iCs/>
          <w:sz w:val="24"/>
          <w:szCs w:val="24"/>
        </w:rPr>
        <w:t xml:space="preserve">), </w:t>
      </w:r>
      <w:r w:rsidR="00514B0C" w:rsidRPr="00CB2C85">
        <w:rPr>
          <w:iCs/>
          <w:sz w:val="24"/>
          <w:szCs w:val="24"/>
        </w:rPr>
        <w:t xml:space="preserve">общая площадь здания – </w:t>
      </w:r>
      <w:r w:rsidR="00514B0C">
        <w:rPr>
          <w:iCs/>
          <w:sz w:val="24"/>
          <w:szCs w:val="24"/>
        </w:rPr>
        <w:t>6969,07</w:t>
      </w:r>
      <w:r w:rsidR="00514B0C"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514B0C">
        <w:rPr>
          <w:iCs/>
          <w:sz w:val="24"/>
          <w:szCs w:val="24"/>
        </w:rPr>
        <w:t xml:space="preserve"> </w:t>
      </w:r>
      <w:r w:rsidR="00514B0C"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514B0C">
        <w:rPr>
          <w:iCs/>
          <w:sz w:val="24"/>
          <w:szCs w:val="24"/>
        </w:rPr>
        <w:t>А</w:t>
      </w:r>
      <w:r w:rsidR="00514B0C" w:rsidRPr="00CB2C85">
        <w:rPr>
          <w:iCs/>
          <w:sz w:val="24"/>
          <w:szCs w:val="24"/>
        </w:rPr>
        <w:t xml:space="preserve">. Строительный адрес: Россия, </w:t>
      </w:r>
      <w:r w:rsidR="00AB51AB" w:rsidRPr="00AB51AB">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AB51AB">
        <w:rPr>
          <w:iCs/>
          <w:sz w:val="24"/>
          <w:szCs w:val="24"/>
        </w:rPr>
        <w:t>3</w:t>
      </w:r>
      <w:r w:rsidR="00922B6E">
        <w:rPr>
          <w:b/>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954321"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 xml:space="preserve">площадь по проекту, рассчитанная в соответствии с Приказом Минстроя России от 25 ноября 2016 г. N </w:t>
      </w:r>
      <w:r w:rsidRPr="00954321">
        <w:rPr>
          <w:bCs/>
          <w:iCs/>
          <w:sz w:val="24"/>
          <w:szCs w:val="24"/>
        </w:rPr>
        <w:t>854/</w:t>
      </w:r>
      <w:proofErr w:type="spellStart"/>
      <w:r w:rsidRPr="00954321">
        <w:rPr>
          <w:bCs/>
          <w:iCs/>
          <w:sz w:val="24"/>
          <w:szCs w:val="24"/>
        </w:rPr>
        <w:t>пр</w:t>
      </w:r>
      <w:proofErr w:type="spellEnd"/>
      <w:r w:rsidRPr="00954321">
        <w:rPr>
          <w:bCs/>
          <w:iCs/>
          <w:sz w:val="24"/>
          <w:szCs w:val="24"/>
        </w:rPr>
        <w:t xml:space="preserve">, </w:t>
      </w:r>
      <w:r w:rsidRPr="00954321">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954321">
        <w:rPr>
          <w:bCs/>
          <w:iCs/>
          <w:sz w:val="24"/>
          <w:szCs w:val="24"/>
        </w:rPr>
        <w:t>без учета обмеров</w:t>
      </w:r>
      <w:r w:rsidR="00CE112C" w:rsidRPr="00954321">
        <w:rPr>
          <w:bCs/>
          <w:iCs/>
          <w:sz w:val="24"/>
          <w:szCs w:val="24"/>
        </w:rPr>
        <w:t>,</w:t>
      </w:r>
      <w:r w:rsidRPr="00954321">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954321" w:rsidRDefault="00A85011" w:rsidP="00A85011">
      <w:pPr>
        <w:pStyle w:val="a7"/>
        <w:numPr>
          <w:ilvl w:val="1"/>
          <w:numId w:val="1"/>
        </w:numPr>
        <w:tabs>
          <w:tab w:val="clear" w:pos="1093"/>
          <w:tab w:val="num" w:pos="709"/>
          <w:tab w:val="right" w:pos="9356"/>
        </w:tabs>
        <w:ind w:left="709" w:right="0" w:hanging="709"/>
        <w:rPr>
          <w:iCs/>
          <w:sz w:val="24"/>
          <w:szCs w:val="24"/>
        </w:rPr>
      </w:pPr>
      <w:r w:rsidRPr="00954321">
        <w:rPr>
          <w:b/>
          <w:iCs/>
          <w:sz w:val="24"/>
          <w:szCs w:val="24"/>
        </w:rPr>
        <w:t>Проектная площадь без понижающего коэффициента</w:t>
      </w:r>
      <w:r w:rsidRPr="00954321">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954321">
        <w:rPr>
          <w:b/>
          <w:bCs/>
          <w:sz w:val="24"/>
          <w:szCs w:val="24"/>
        </w:rPr>
        <w:t>Общая площадь</w:t>
      </w:r>
      <w:r w:rsidRPr="00954321">
        <w:rPr>
          <w:b/>
          <w:bCs/>
          <w:iCs/>
          <w:sz w:val="24"/>
          <w:szCs w:val="24"/>
        </w:rPr>
        <w:t xml:space="preserve"> </w:t>
      </w:r>
      <w:r w:rsidRPr="00954321">
        <w:rPr>
          <w:bCs/>
          <w:iCs/>
          <w:sz w:val="24"/>
          <w:szCs w:val="24"/>
        </w:rPr>
        <w:t xml:space="preserve">Объекта долевого строительства - </w:t>
      </w:r>
      <w:r w:rsidRPr="00954321">
        <w:rPr>
          <w:bCs/>
          <w:sz w:val="24"/>
          <w:szCs w:val="24"/>
        </w:rPr>
        <w:t>площадь</w:t>
      </w:r>
      <w:r w:rsidRPr="000928BE">
        <w:rPr>
          <w:bCs/>
          <w:sz w:val="24"/>
          <w:szCs w:val="24"/>
        </w:rPr>
        <w:t xml:space="preserve">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954321"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w:t>
      </w:r>
      <w:r w:rsidRPr="000928BE">
        <w:rPr>
          <w:sz w:val="24"/>
          <w:szCs w:val="24"/>
        </w:rPr>
        <w:lastRenderedPageBreak/>
        <w:t xml:space="preserve">понижающими коэффициентами, установленными федеральным органом исполнительной власти в </w:t>
      </w:r>
      <w:r w:rsidRPr="00954321">
        <w:rPr>
          <w:sz w:val="24"/>
          <w:szCs w:val="24"/>
        </w:rPr>
        <w:t>соответствии с данными экспликации технического плана здания (Объекта недвижимости)</w:t>
      </w:r>
      <w:r w:rsidR="00CE112C" w:rsidRPr="00954321">
        <w:rPr>
          <w:sz w:val="24"/>
          <w:szCs w:val="24"/>
        </w:rPr>
        <w:t>,</w:t>
      </w:r>
      <w:r w:rsidRPr="00954321">
        <w:rPr>
          <w:sz w:val="24"/>
          <w:szCs w:val="24"/>
        </w:rPr>
        <w:t xml:space="preserve"> изготовленного кадастровым инженером, имеющим действующий квалификационный аттестат кадастрового инженера</w:t>
      </w:r>
      <w:r w:rsidRPr="00954321">
        <w:rPr>
          <w:bCs/>
          <w:iCs/>
          <w:sz w:val="24"/>
          <w:szCs w:val="24"/>
        </w:rPr>
        <w:t>.</w:t>
      </w:r>
    </w:p>
    <w:p w14:paraId="7041D7C4" w14:textId="67674ACC" w:rsidR="00CB3BC2" w:rsidRPr="00954321" w:rsidRDefault="00CB3BC2" w:rsidP="0086132F">
      <w:pPr>
        <w:pStyle w:val="a7"/>
        <w:numPr>
          <w:ilvl w:val="1"/>
          <w:numId w:val="1"/>
        </w:numPr>
        <w:tabs>
          <w:tab w:val="clear" w:pos="1093"/>
          <w:tab w:val="num" w:pos="809"/>
          <w:tab w:val="right" w:pos="9356"/>
        </w:tabs>
        <w:ind w:left="709" w:right="0" w:hanging="709"/>
        <w:rPr>
          <w:iCs/>
          <w:sz w:val="24"/>
          <w:szCs w:val="24"/>
        </w:rPr>
      </w:pPr>
      <w:r w:rsidRPr="00954321">
        <w:rPr>
          <w:b/>
          <w:iCs/>
          <w:sz w:val="24"/>
          <w:szCs w:val="24"/>
        </w:rPr>
        <w:t xml:space="preserve">Проектная общая жилая площадь </w:t>
      </w:r>
      <w:r w:rsidRPr="00954321">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3979C94F" w14:textId="77777777" w:rsidR="00E626D1" w:rsidRPr="00E626D1" w:rsidRDefault="00E626D1" w:rsidP="00E626D1">
      <w:pPr>
        <w:ind w:left="720" w:hanging="11"/>
        <w:jc w:val="both"/>
        <w:rPr>
          <w:sz w:val="24"/>
          <w:szCs w:val="24"/>
        </w:rPr>
      </w:pPr>
      <w:r w:rsidRPr="00E626D1">
        <w:rPr>
          <w:sz w:val="24"/>
          <w:szCs w:val="24"/>
        </w:rPr>
        <w:t>- Договор субаренды земельных участков №ПИК/27-Хбк-34 от 28.03.2023г., зарегистрированный Филиалом публично-правовой компании «</w:t>
      </w:r>
      <w:proofErr w:type="spellStart"/>
      <w:r w:rsidRPr="00E626D1">
        <w:rPr>
          <w:sz w:val="24"/>
          <w:szCs w:val="24"/>
        </w:rPr>
        <w:t>Роскадастр</w:t>
      </w:r>
      <w:proofErr w:type="spellEnd"/>
      <w:r w:rsidRPr="00E626D1">
        <w:rPr>
          <w:sz w:val="24"/>
          <w:szCs w:val="24"/>
        </w:rPr>
        <w:t xml:space="preserve">» по Хабаровскому краю, дата государственной регистрации 27.04.2023 номер государственной регистрации: №27:23:0000000:33115-27/020/2023-5. </w:t>
      </w:r>
    </w:p>
    <w:p w14:paraId="102CBF82" w14:textId="77777777" w:rsidR="00E626D1" w:rsidRPr="00E626D1" w:rsidRDefault="00E626D1" w:rsidP="00E626D1">
      <w:pPr>
        <w:ind w:left="720" w:hanging="11"/>
        <w:jc w:val="both"/>
        <w:rPr>
          <w:sz w:val="24"/>
          <w:szCs w:val="24"/>
        </w:rPr>
      </w:pPr>
      <w:r w:rsidRPr="00E626D1">
        <w:rPr>
          <w:sz w:val="24"/>
          <w:szCs w:val="24"/>
        </w:rPr>
        <w:t xml:space="preserve">Земельный участок площадью 25 874 </w:t>
      </w:r>
      <w:proofErr w:type="spellStart"/>
      <w:r w:rsidRPr="00E626D1">
        <w:rPr>
          <w:sz w:val="24"/>
          <w:szCs w:val="24"/>
        </w:rPr>
        <w:t>кв.м</w:t>
      </w:r>
      <w:proofErr w:type="spellEnd"/>
      <w:r w:rsidRPr="00E626D1">
        <w:rPr>
          <w:sz w:val="24"/>
          <w:szCs w:val="24"/>
        </w:rPr>
        <w:t>. с кадастровым номером 27:23:0040509:121, вид разрешенного использования – Многоэтажная жилая застройка (высотная застройка), хранение автотранспорта,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27:23:0040509:121-27/020/2023-4.</w:t>
      </w:r>
    </w:p>
    <w:p w14:paraId="1FBB8F9B" w14:textId="77777777" w:rsidR="00E626D1" w:rsidRPr="00E626D1" w:rsidRDefault="00E626D1" w:rsidP="00E626D1">
      <w:pPr>
        <w:ind w:left="720" w:hanging="11"/>
        <w:jc w:val="both"/>
        <w:rPr>
          <w:sz w:val="24"/>
          <w:szCs w:val="24"/>
        </w:rPr>
      </w:pPr>
      <w:r w:rsidRPr="00E626D1">
        <w:rPr>
          <w:sz w:val="24"/>
          <w:szCs w:val="24"/>
        </w:rPr>
        <w:t xml:space="preserve">Земельный участок площадью 19 737 </w:t>
      </w:r>
      <w:proofErr w:type="spellStart"/>
      <w:r w:rsidRPr="00E626D1">
        <w:rPr>
          <w:sz w:val="24"/>
          <w:szCs w:val="24"/>
        </w:rPr>
        <w:t>кв.м</w:t>
      </w:r>
      <w:proofErr w:type="spellEnd"/>
      <w:r w:rsidRPr="00E626D1">
        <w:rPr>
          <w:sz w:val="24"/>
          <w:szCs w:val="24"/>
        </w:rPr>
        <w:t>.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7980FBAE" w14:textId="77777777" w:rsidR="00E626D1" w:rsidRPr="00E626D1" w:rsidRDefault="00E626D1" w:rsidP="00E626D1">
      <w:pPr>
        <w:ind w:left="720" w:hanging="11"/>
        <w:jc w:val="both"/>
        <w:rPr>
          <w:sz w:val="24"/>
          <w:szCs w:val="24"/>
        </w:rPr>
      </w:pPr>
      <w:r w:rsidRPr="00E626D1">
        <w:rPr>
          <w:sz w:val="24"/>
          <w:szCs w:val="24"/>
        </w:rPr>
        <w:t xml:space="preserve">Земельный участок площадью 14 121 </w:t>
      </w:r>
      <w:proofErr w:type="spellStart"/>
      <w:r w:rsidRPr="00E626D1">
        <w:rPr>
          <w:sz w:val="24"/>
          <w:szCs w:val="24"/>
        </w:rPr>
        <w:t>кв.м</w:t>
      </w:r>
      <w:proofErr w:type="spellEnd"/>
      <w:r w:rsidRPr="00E626D1">
        <w:rPr>
          <w:sz w:val="24"/>
          <w:szCs w:val="24"/>
        </w:rPr>
        <w:t>. с кадастровым номером 27:23:0000000:33108, вид разрешенного использования – Улично-дорожная сеть (12.0.1),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27:23:0000000:33108-27/020/2023-4.</w:t>
      </w:r>
    </w:p>
    <w:p w14:paraId="64444243" w14:textId="77777777" w:rsidR="00E626D1" w:rsidRPr="00E626D1" w:rsidRDefault="00E626D1" w:rsidP="00E626D1">
      <w:pPr>
        <w:ind w:left="720" w:hanging="11"/>
        <w:jc w:val="both"/>
        <w:rPr>
          <w:sz w:val="24"/>
          <w:szCs w:val="24"/>
        </w:rPr>
      </w:pPr>
      <w:r w:rsidRPr="00E626D1">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358EB3BD" w14:textId="5B11CEB3" w:rsidR="00954321" w:rsidRDefault="00E626D1" w:rsidP="00E626D1">
      <w:pPr>
        <w:ind w:left="720" w:hanging="11"/>
        <w:jc w:val="both"/>
        <w:rPr>
          <w:sz w:val="24"/>
          <w:szCs w:val="24"/>
        </w:rPr>
      </w:pPr>
      <w:r w:rsidRPr="00E626D1">
        <w:rPr>
          <w:sz w:val="24"/>
          <w:szCs w:val="24"/>
        </w:rPr>
        <w:t>- Проектная декларация размещена в сети Интернет: в Единой информационной системе жилищного строительства.</w:t>
      </w:r>
    </w:p>
    <w:p w14:paraId="3F588FA0" w14:textId="77777777" w:rsidR="006F30A7" w:rsidRDefault="006F30A7" w:rsidP="00954321">
      <w:pPr>
        <w:ind w:left="720" w:hanging="11"/>
        <w:jc w:val="both"/>
        <w:rPr>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46117D8B" w:rsidR="00000E92" w:rsidRPr="00954321"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 xml:space="preserve">Объект долевого </w:t>
      </w:r>
      <w:r w:rsidRPr="00954321">
        <w:rPr>
          <w:b/>
          <w:bCs/>
          <w:iCs/>
          <w:sz w:val="24"/>
          <w:szCs w:val="24"/>
        </w:rPr>
        <w:t>строительства</w:t>
      </w:r>
      <w:r w:rsidRPr="00954321">
        <w:rPr>
          <w:iCs/>
          <w:sz w:val="24"/>
          <w:szCs w:val="24"/>
        </w:rPr>
        <w:t xml:space="preserve"> – жилое помещение, условный номер</w:t>
      </w:r>
      <w:r w:rsidR="00060BA4" w:rsidRPr="00954321">
        <w:rPr>
          <w:iCs/>
          <w:sz w:val="24"/>
          <w:szCs w:val="24"/>
        </w:rPr>
        <w:t xml:space="preserve"> в соответствии с проектной декларацией</w:t>
      </w:r>
      <w:r w:rsidRPr="00954321">
        <w:rPr>
          <w:iCs/>
          <w:sz w:val="24"/>
          <w:szCs w:val="24"/>
        </w:rPr>
        <w:t>:</w:t>
      </w:r>
      <w:r w:rsidR="00306831" w:rsidRPr="00954321">
        <w:rPr>
          <w:iCs/>
          <w:sz w:val="24"/>
          <w:szCs w:val="24"/>
        </w:rPr>
        <w:t xml:space="preserve"> </w:t>
      </w:r>
      <w:r w:rsidR="00306831" w:rsidRPr="00954321">
        <w:rPr>
          <w:b/>
          <w:iCs/>
          <w:sz w:val="24"/>
          <w:szCs w:val="24"/>
        </w:rPr>
        <w:t>ХХХ</w:t>
      </w:r>
      <w:r w:rsidRPr="00954321">
        <w:rPr>
          <w:iCs/>
          <w:sz w:val="24"/>
          <w:szCs w:val="24"/>
        </w:rPr>
        <w:t>, назначение:</w:t>
      </w:r>
      <w:r w:rsidR="00306831" w:rsidRPr="00954321">
        <w:rPr>
          <w:iCs/>
          <w:sz w:val="24"/>
          <w:szCs w:val="24"/>
        </w:rPr>
        <w:t xml:space="preserve"> </w:t>
      </w:r>
      <w:r w:rsidR="00306831" w:rsidRPr="00954321">
        <w:rPr>
          <w:b/>
          <w:iCs/>
          <w:sz w:val="24"/>
          <w:szCs w:val="24"/>
        </w:rPr>
        <w:t>квартира</w:t>
      </w:r>
      <w:r w:rsidRPr="00954321">
        <w:rPr>
          <w:iCs/>
          <w:sz w:val="24"/>
          <w:szCs w:val="24"/>
        </w:rPr>
        <w:t xml:space="preserve">, этаж расположения: </w:t>
      </w:r>
      <w:r w:rsidR="00306831" w:rsidRPr="00954321">
        <w:rPr>
          <w:b/>
          <w:bCs/>
          <w:iCs/>
          <w:sz w:val="24"/>
          <w:szCs w:val="24"/>
        </w:rPr>
        <w:t>ХХ</w:t>
      </w:r>
      <w:r w:rsidRPr="00954321">
        <w:rPr>
          <w:bCs/>
          <w:iCs/>
          <w:sz w:val="24"/>
          <w:szCs w:val="24"/>
        </w:rPr>
        <w:t xml:space="preserve">, номер подъезда (секции): </w:t>
      </w:r>
      <w:r w:rsidR="00306831" w:rsidRPr="00954321">
        <w:rPr>
          <w:b/>
          <w:bCs/>
          <w:iCs/>
          <w:sz w:val="24"/>
          <w:szCs w:val="24"/>
        </w:rPr>
        <w:t>Х</w:t>
      </w:r>
      <w:r w:rsidRPr="00954321">
        <w:rPr>
          <w:bCs/>
          <w:iCs/>
          <w:sz w:val="24"/>
          <w:szCs w:val="24"/>
        </w:rPr>
        <w:t>, проектная общая площадь:</w:t>
      </w:r>
      <w:r w:rsidR="00306831" w:rsidRPr="00954321">
        <w:rPr>
          <w:bCs/>
          <w:iCs/>
          <w:sz w:val="24"/>
          <w:szCs w:val="24"/>
        </w:rPr>
        <w:t xml:space="preserve"> </w:t>
      </w:r>
      <w:r w:rsidR="00306831" w:rsidRPr="00954321">
        <w:rPr>
          <w:b/>
          <w:bCs/>
          <w:iCs/>
          <w:sz w:val="24"/>
          <w:szCs w:val="24"/>
        </w:rPr>
        <w:t>ХХ,ХХ</w:t>
      </w:r>
      <w:r w:rsidRPr="00954321">
        <w:rPr>
          <w:bCs/>
          <w:iCs/>
          <w:sz w:val="24"/>
          <w:szCs w:val="24"/>
        </w:rPr>
        <w:t xml:space="preserve"> </w:t>
      </w:r>
      <w:proofErr w:type="spellStart"/>
      <w:r w:rsidRPr="00954321">
        <w:rPr>
          <w:sz w:val="24"/>
          <w:szCs w:val="24"/>
        </w:rPr>
        <w:t>кв.м</w:t>
      </w:r>
      <w:proofErr w:type="spellEnd"/>
      <w:r w:rsidRPr="00954321">
        <w:rPr>
          <w:sz w:val="24"/>
          <w:szCs w:val="24"/>
        </w:rPr>
        <w:t xml:space="preserve">, </w:t>
      </w:r>
      <w:r w:rsidR="00911C82" w:rsidRPr="00954321">
        <w:rPr>
          <w:sz w:val="24"/>
          <w:szCs w:val="24"/>
        </w:rPr>
        <w:t>проектная общая приведенная площадь</w:t>
      </w:r>
      <w:r w:rsidR="007E19E5" w:rsidRPr="00954321">
        <w:rPr>
          <w:sz w:val="24"/>
          <w:szCs w:val="24"/>
        </w:rPr>
        <w:t>:</w:t>
      </w:r>
      <w:r w:rsidR="00911C82" w:rsidRPr="00954321">
        <w:rPr>
          <w:sz w:val="24"/>
          <w:szCs w:val="24"/>
        </w:rPr>
        <w:t xml:space="preserve"> </w:t>
      </w:r>
      <w:r w:rsidR="00911C82" w:rsidRPr="00954321">
        <w:rPr>
          <w:b/>
          <w:sz w:val="24"/>
          <w:szCs w:val="24"/>
        </w:rPr>
        <w:t>ХХ,ХХ</w:t>
      </w:r>
      <w:r w:rsidR="00911C82" w:rsidRPr="00954321">
        <w:rPr>
          <w:sz w:val="24"/>
          <w:szCs w:val="24"/>
        </w:rPr>
        <w:t xml:space="preserve"> </w:t>
      </w:r>
      <w:proofErr w:type="spellStart"/>
      <w:r w:rsidR="00911C82" w:rsidRPr="00954321">
        <w:rPr>
          <w:sz w:val="24"/>
          <w:szCs w:val="24"/>
        </w:rPr>
        <w:t>кв.</w:t>
      </w:r>
      <w:r w:rsidR="00911C82" w:rsidRPr="00954321">
        <w:rPr>
          <w:bCs/>
          <w:iCs/>
          <w:sz w:val="24"/>
          <w:szCs w:val="24"/>
        </w:rPr>
        <w:t>м</w:t>
      </w:r>
      <w:proofErr w:type="spellEnd"/>
      <w:r w:rsidR="00911C82" w:rsidRPr="00954321">
        <w:rPr>
          <w:bCs/>
          <w:iCs/>
          <w:sz w:val="24"/>
          <w:szCs w:val="24"/>
        </w:rPr>
        <w:t xml:space="preserve">, </w:t>
      </w:r>
      <w:r w:rsidR="006E3E5E" w:rsidRPr="00954321">
        <w:rPr>
          <w:bCs/>
          <w:iCs/>
          <w:sz w:val="24"/>
          <w:szCs w:val="24"/>
        </w:rPr>
        <w:t xml:space="preserve">проектная площадь без понижающего коэффициента: </w:t>
      </w:r>
      <w:r w:rsidR="006E3E5E" w:rsidRPr="00954321">
        <w:rPr>
          <w:b/>
          <w:bCs/>
          <w:iCs/>
          <w:sz w:val="24"/>
          <w:szCs w:val="24"/>
        </w:rPr>
        <w:t>ХХ,ХХ</w:t>
      </w:r>
      <w:r w:rsidR="006E3E5E" w:rsidRPr="00954321">
        <w:rPr>
          <w:bCs/>
          <w:iCs/>
          <w:sz w:val="24"/>
          <w:szCs w:val="24"/>
        </w:rPr>
        <w:t xml:space="preserve"> </w:t>
      </w:r>
      <w:proofErr w:type="spellStart"/>
      <w:r w:rsidR="006E3E5E" w:rsidRPr="00954321">
        <w:rPr>
          <w:bCs/>
          <w:iCs/>
          <w:sz w:val="24"/>
          <w:szCs w:val="24"/>
        </w:rPr>
        <w:t>кв.м</w:t>
      </w:r>
      <w:proofErr w:type="spellEnd"/>
      <w:r w:rsidR="006E3E5E" w:rsidRPr="00954321">
        <w:rPr>
          <w:bCs/>
          <w:iCs/>
          <w:sz w:val="24"/>
          <w:szCs w:val="24"/>
        </w:rPr>
        <w:t>, проектная общая жилая площадь:</w:t>
      </w:r>
      <w:r w:rsidR="006E3E5E" w:rsidRPr="00954321">
        <w:rPr>
          <w:b/>
          <w:bCs/>
          <w:iCs/>
          <w:sz w:val="24"/>
          <w:szCs w:val="24"/>
        </w:rPr>
        <w:t xml:space="preserve"> ХХ,ХХ </w:t>
      </w:r>
      <w:proofErr w:type="spellStart"/>
      <w:r w:rsidR="006E3E5E" w:rsidRPr="00954321">
        <w:rPr>
          <w:bCs/>
          <w:iCs/>
          <w:sz w:val="24"/>
          <w:szCs w:val="24"/>
        </w:rPr>
        <w:t>кв.м</w:t>
      </w:r>
      <w:proofErr w:type="spellEnd"/>
      <w:r w:rsidR="006E3E5E" w:rsidRPr="00954321">
        <w:rPr>
          <w:bCs/>
          <w:iCs/>
          <w:sz w:val="24"/>
          <w:szCs w:val="24"/>
        </w:rPr>
        <w:t xml:space="preserve">, </w:t>
      </w:r>
      <w:r w:rsidRPr="00954321">
        <w:rPr>
          <w:iCs/>
          <w:sz w:val="24"/>
          <w:szCs w:val="24"/>
        </w:rPr>
        <w:t xml:space="preserve">количество комнат: </w:t>
      </w:r>
      <w:r w:rsidR="00306831" w:rsidRPr="00954321">
        <w:rPr>
          <w:b/>
          <w:iCs/>
          <w:sz w:val="24"/>
          <w:szCs w:val="24"/>
        </w:rPr>
        <w:t>Х</w:t>
      </w:r>
      <w:r w:rsidR="00AF3A26" w:rsidRPr="00954321">
        <w:rPr>
          <w:iCs/>
          <w:sz w:val="24"/>
          <w:szCs w:val="24"/>
        </w:rPr>
        <w:t>:</w:t>
      </w:r>
    </w:p>
    <w:p w14:paraId="2E296AB2" w14:textId="77777777" w:rsidR="00000E92" w:rsidRPr="00954321" w:rsidRDefault="00000E92" w:rsidP="0086132F">
      <w:pPr>
        <w:pStyle w:val="a7"/>
        <w:ind w:left="709" w:right="0"/>
        <w:rPr>
          <w:iCs/>
          <w:sz w:val="24"/>
          <w:szCs w:val="24"/>
        </w:rPr>
      </w:pPr>
      <w:r w:rsidRPr="00954321">
        <w:rPr>
          <w:iCs/>
          <w:sz w:val="24"/>
          <w:szCs w:val="24"/>
        </w:rPr>
        <w:t xml:space="preserve">проектная площадь комнат: </w:t>
      </w:r>
      <w:r w:rsidR="00306831" w:rsidRPr="00954321">
        <w:rPr>
          <w:b/>
          <w:iCs/>
          <w:sz w:val="24"/>
          <w:szCs w:val="24"/>
        </w:rPr>
        <w:t>ХХ</w:t>
      </w:r>
      <w:r w:rsidR="0063439C" w:rsidRPr="00954321">
        <w:rPr>
          <w:b/>
          <w:iCs/>
          <w:sz w:val="24"/>
          <w:szCs w:val="24"/>
        </w:rPr>
        <w:t>,</w:t>
      </w:r>
      <w:r w:rsidR="00306831" w:rsidRPr="00954321">
        <w:rPr>
          <w:b/>
          <w:iCs/>
          <w:sz w:val="24"/>
          <w:szCs w:val="24"/>
        </w:rPr>
        <w:t>ХХ</w:t>
      </w:r>
      <w:r w:rsidR="0063439C" w:rsidRPr="00954321">
        <w:rPr>
          <w:iCs/>
          <w:sz w:val="24"/>
          <w:szCs w:val="24"/>
        </w:rPr>
        <w:t xml:space="preserve"> </w:t>
      </w:r>
      <w:proofErr w:type="spellStart"/>
      <w:r w:rsidRPr="00954321">
        <w:rPr>
          <w:iCs/>
          <w:sz w:val="24"/>
          <w:szCs w:val="24"/>
        </w:rPr>
        <w:t>кв.м</w:t>
      </w:r>
      <w:proofErr w:type="spellEnd"/>
      <w:r w:rsidRPr="00954321">
        <w:rPr>
          <w:iCs/>
          <w:sz w:val="24"/>
          <w:szCs w:val="24"/>
        </w:rPr>
        <w:t>:</w:t>
      </w:r>
    </w:p>
    <w:p w14:paraId="05EF0D9A" w14:textId="77777777" w:rsidR="00000E92" w:rsidRPr="00954321" w:rsidRDefault="0063439C" w:rsidP="0086132F">
      <w:pPr>
        <w:pStyle w:val="a7"/>
        <w:ind w:left="709" w:right="0"/>
        <w:rPr>
          <w:iCs/>
          <w:sz w:val="24"/>
          <w:szCs w:val="24"/>
        </w:rPr>
      </w:pPr>
      <w:r w:rsidRPr="00954321">
        <w:rPr>
          <w:iCs/>
          <w:sz w:val="24"/>
          <w:szCs w:val="24"/>
        </w:rPr>
        <w:t xml:space="preserve">условный номер комнаты: </w:t>
      </w:r>
      <w:r w:rsidR="00306831" w:rsidRPr="00954321">
        <w:rPr>
          <w:b/>
          <w:iCs/>
          <w:sz w:val="24"/>
          <w:szCs w:val="24"/>
        </w:rPr>
        <w:t>Х</w:t>
      </w:r>
      <w:r w:rsidRPr="00954321">
        <w:rPr>
          <w:b/>
          <w:iCs/>
          <w:sz w:val="24"/>
          <w:szCs w:val="24"/>
        </w:rPr>
        <w:t xml:space="preserve">, </w:t>
      </w:r>
      <w:r w:rsidRPr="00954321">
        <w:rPr>
          <w:iCs/>
          <w:sz w:val="24"/>
          <w:szCs w:val="24"/>
        </w:rPr>
        <w:t xml:space="preserve">проектной площадью: </w:t>
      </w:r>
      <w:r w:rsidR="00306831" w:rsidRPr="00954321">
        <w:rPr>
          <w:b/>
          <w:iCs/>
          <w:sz w:val="24"/>
          <w:szCs w:val="24"/>
        </w:rPr>
        <w:t>ХХ,ХХ</w:t>
      </w:r>
      <w:r w:rsidRPr="00954321">
        <w:rPr>
          <w:iCs/>
          <w:sz w:val="24"/>
          <w:szCs w:val="24"/>
        </w:rPr>
        <w:t xml:space="preserve"> </w:t>
      </w:r>
      <w:proofErr w:type="spellStart"/>
      <w:r w:rsidRPr="00954321">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954321">
        <w:rPr>
          <w:iCs/>
          <w:sz w:val="24"/>
          <w:szCs w:val="24"/>
        </w:rPr>
        <w:t>проектная площадь помещений вспомогательного</w:t>
      </w:r>
      <w:r w:rsidRPr="000928BE">
        <w:rPr>
          <w:iCs/>
          <w:sz w:val="24"/>
          <w:szCs w:val="24"/>
        </w:rPr>
        <w:t xml:space="preserve"> назначения: </w:t>
      </w:r>
      <w:r w:rsidR="00306831" w:rsidRPr="000928BE">
        <w:rPr>
          <w:b/>
          <w:iCs/>
          <w:sz w:val="24"/>
          <w:szCs w:val="24"/>
        </w:rPr>
        <w:t>ХХ</w:t>
      </w:r>
      <w:r w:rsidR="0063439C" w:rsidRPr="000928BE">
        <w:rPr>
          <w:b/>
          <w:iCs/>
          <w:sz w:val="24"/>
          <w:szCs w:val="24"/>
        </w:rPr>
        <w:t>,</w:t>
      </w:r>
      <w:r w:rsidR="00306831" w:rsidRPr="000928BE">
        <w:rPr>
          <w:b/>
          <w:iCs/>
          <w:sz w:val="24"/>
          <w:szCs w:val="24"/>
        </w:rPr>
        <w:t>ХХ</w:t>
      </w:r>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lastRenderedPageBreak/>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601A302"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открываемый в</w:t>
      </w:r>
      <w:bookmarkStart w:id="0" w:name="_Hlk524349579"/>
      <w:r w:rsidR="00AC7848" w:rsidRPr="00F41EE6">
        <w:rPr>
          <w:sz w:val="24"/>
          <w:szCs w:val="24"/>
        </w:rPr>
        <w:t xml:space="preserve"> </w:t>
      </w:r>
      <w:r w:rsidR="00AC7848" w:rsidRPr="00554E0A">
        <w:rPr>
          <w:bCs/>
          <w:spacing w:val="-1"/>
          <w:sz w:val="24"/>
          <w:szCs w:val="24"/>
        </w:rPr>
        <w:t> </w:t>
      </w:r>
      <w:r w:rsidR="002A41CC" w:rsidRPr="002A41CC">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2A41CC" w:rsidRPr="002A41CC">
          <w:rPr>
            <w:rStyle w:val="afc"/>
            <w:bCs/>
            <w:color w:val="auto"/>
            <w:spacing w:val="-1"/>
            <w:sz w:val="24"/>
            <w:szCs w:val="24"/>
            <w:u w:val="none"/>
          </w:rPr>
          <w:t>escrow@domrf.ru</w:t>
        </w:r>
      </w:hyperlink>
      <w:r w:rsidR="002A41CC" w:rsidRPr="002A41CC">
        <w:rPr>
          <w:bCs/>
          <w:spacing w:val="-1"/>
          <w:sz w:val="24"/>
          <w:szCs w:val="24"/>
        </w:rPr>
        <w:t xml:space="preserve">, телефон 8 800 775 86 86 </w:t>
      </w:r>
      <w:r w:rsidR="00AC7848" w:rsidRPr="0049618C">
        <w:rPr>
          <w:bCs/>
          <w:spacing w:val="-1"/>
          <w:sz w:val="24"/>
          <w:szCs w:val="24"/>
        </w:rPr>
        <w:t>(</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0928BE">
        <w:rPr>
          <w:sz w:val="24"/>
          <w:szCs w:val="24"/>
        </w:rPr>
        <w:t>кв.м</w:t>
      </w:r>
      <w:proofErr w:type="spell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59071119"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lastRenderedPageBreak/>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xml:space="preserve">, то </w:t>
      </w:r>
      <w:r w:rsidR="004F0B0E" w:rsidRPr="004F0B0E">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r w:rsidRPr="00A15F24">
        <w:rPr>
          <w:sz w:val="24"/>
          <w:szCs w:val="24"/>
        </w:rPr>
        <w:t>.</w:t>
      </w:r>
    </w:p>
    <w:p w14:paraId="19EF83C7" w14:textId="4101ECAD"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AD085D">
        <w:rPr>
          <w:sz w:val="24"/>
          <w:szCs w:val="24"/>
        </w:rPr>
        <w:t>ом</w:t>
      </w:r>
      <w:r w:rsidRPr="00A15F24">
        <w:rPr>
          <w:sz w:val="24"/>
          <w:szCs w:val="24"/>
        </w:rPr>
        <w:t>.</w:t>
      </w:r>
      <w:r w:rsidR="00AD085D" w:rsidRPr="00AD085D">
        <w:rPr>
          <w:color w:val="00B0F0"/>
          <w:sz w:val="24"/>
          <w:szCs w:val="24"/>
          <w:highlight w:val="white"/>
          <w:lang w:eastAsia="en-US"/>
        </w:rPr>
        <w:t xml:space="preserve"> </w:t>
      </w:r>
      <w:r w:rsidR="00AD085D" w:rsidRPr="00AD085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1DE7F5DA"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954321">
        <w:rPr>
          <w:iCs/>
          <w:sz w:val="24"/>
          <w:szCs w:val="24"/>
        </w:rPr>
        <w:t>–</w:t>
      </w:r>
      <w:r w:rsidR="00E65EE3">
        <w:rPr>
          <w:iCs/>
          <w:sz w:val="24"/>
          <w:szCs w:val="24"/>
        </w:rPr>
        <w:t xml:space="preserve"> </w:t>
      </w:r>
      <w:r w:rsidR="00954321">
        <w:rPr>
          <w:iCs/>
          <w:sz w:val="24"/>
          <w:szCs w:val="24"/>
        </w:rPr>
        <w:t xml:space="preserve">01.07.2025 </w:t>
      </w:r>
      <w:r>
        <w:rPr>
          <w:rFonts w:eastAsia="Calibri"/>
          <w:noProof/>
          <w:sz w:val="24"/>
          <w:szCs w:val="24"/>
        </w:rPr>
        <w:t>года</w:t>
      </w:r>
      <w:r w:rsidR="00641FF5">
        <w:rPr>
          <w:rFonts w:eastAsia="Calibri"/>
          <w:noProof/>
          <w:sz w:val="24"/>
          <w:szCs w:val="24"/>
          <w:lang w:val="en-US"/>
        </w:rPr>
        <w:t>.</w:t>
      </w:r>
    </w:p>
    <w:p w14:paraId="6B511755" w14:textId="6D62A2A1"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954321">
        <w:rPr>
          <w:iCs/>
          <w:sz w:val="24"/>
          <w:szCs w:val="24"/>
        </w:rPr>
        <w:t xml:space="preserve">31.08.2025 </w:t>
      </w:r>
      <w:r>
        <w:rPr>
          <w:sz w:val="24"/>
          <w:szCs w:val="24"/>
        </w:rPr>
        <w:t>года</w:t>
      </w:r>
      <w:r w:rsidR="00641FF5" w:rsidRPr="00641FF5">
        <w:rPr>
          <w:sz w:val="24"/>
          <w:szCs w:val="24"/>
        </w:rPr>
        <w:t>.</w:t>
      </w:r>
    </w:p>
    <w:p w14:paraId="5D32A0C2" w14:textId="77777777" w:rsidR="00B623C5" w:rsidRPr="00B623C5" w:rsidRDefault="00B623C5" w:rsidP="00B623C5">
      <w:pPr>
        <w:pStyle w:val="a7"/>
        <w:numPr>
          <w:ilvl w:val="1"/>
          <w:numId w:val="1"/>
        </w:numPr>
        <w:tabs>
          <w:tab w:val="clear" w:pos="1093"/>
        </w:tabs>
        <w:ind w:left="709" w:right="0" w:hanging="709"/>
        <w:rPr>
          <w:sz w:val="24"/>
          <w:szCs w:val="24"/>
        </w:rPr>
      </w:pPr>
      <w:r w:rsidRPr="00B623C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2731DBAF"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EC591A1" w14:textId="77777777" w:rsidR="002D3CA0" w:rsidRPr="002D3CA0" w:rsidRDefault="002D3CA0" w:rsidP="002D3CA0">
      <w:pPr>
        <w:pStyle w:val="a7"/>
        <w:ind w:left="709" w:right="0"/>
        <w:rPr>
          <w:iCs/>
          <w:sz w:val="24"/>
          <w:szCs w:val="24"/>
        </w:rPr>
      </w:pPr>
      <w:r w:rsidRPr="002D3CA0">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3C70AB26"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lastRenderedPageBreak/>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962AC97" w14:textId="77777777" w:rsidR="002D3CA0" w:rsidRPr="002D3CA0" w:rsidRDefault="002D3CA0" w:rsidP="002D3CA0">
      <w:pPr>
        <w:pStyle w:val="a7"/>
        <w:ind w:left="709" w:right="0"/>
        <w:rPr>
          <w:iCs/>
          <w:sz w:val="24"/>
          <w:szCs w:val="24"/>
        </w:rPr>
      </w:pPr>
      <w:r w:rsidRPr="002D3CA0">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9840A40"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981F5A" w14:textId="77777777" w:rsid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0B4E8D87" w:rsidR="000F3850" w:rsidRPr="0097294E" w:rsidRDefault="00214A04" w:rsidP="002D3CA0">
      <w:pPr>
        <w:pStyle w:val="a7"/>
        <w:numPr>
          <w:ilvl w:val="1"/>
          <w:numId w:val="1"/>
        </w:numPr>
        <w:tabs>
          <w:tab w:val="clear" w:pos="1093"/>
          <w:tab w:val="num" w:pos="709"/>
        </w:tabs>
        <w:ind w:left="709" w:right="0" w:hanging="709"/>
        <w:rPr>
          <w:iCs/>
          <w:sz w:val="24"/>
          <w:szCs w:val="24"/>
        </w:rPr>
      </w:pPr>
      <w:r w:rsidRPr="00214A04">
        <w:rPr>
          <w:color w:val="000000"/>
          <w:sz w:val="24"/>
          <w:szCs w:val="24"/>
        </w:rPr>
        <w:t>В </w:t>
      </w:r>
      <w:r w:rsidRPr="00214A04">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lastRenderedPageBreak/>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77777777"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1026B91F"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ЗАСТРОЙЩИКУ оригинал </w:t>
      </w:r>
      <w:r w:rsidR="001955E5" w:rsidRPr="001955E5">
        <w:rPr>
          <w:sz w:val="24"/>
          <w:szCs w:val="24"/>
        </w:rPr>
        <w:t>описи (расписки)</w:t>
      </w:r>
      <w:r>
        <w:rPr>
          <w:sz w:val="24"/>
          <w:szCs w:val="24"/>
        </w:rPr>
        <w:t xml:space="preserve">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lastRenderedPageBreak/>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9A6465F" w14:textId="77777777" w:rsidR="002B63AD" w:rsidRDefault="002B63AD" w:rsidP="00DD2A87">
      <w:pPr>
        <w:pStyle w:val="Normal1"/>
        <w:numPr>
          <w:ilvl w:val="1"/>
          <w:numId w:val="1"/>
        </w:numPr>
        <w:tabs>
          <w:tab w:val="clear" w:pos="1093"/>
          <w:tab w:val="num" w:pos="709"/>
        </w:tabs>
        <w:spacing w:line="240" w:lineRule="auto"/>
        <w:ind w:left="709" w:hanging="709"/>
        <w:jc w:val="both"/>
        <w:rPr>
          <w:sz w:val="24"/>
          <w:szCs w:val="24"/>
        </w:rPr>
      </w:pPr>
      <w:r w:rsidRPr="002B63AD">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5968843F" w:rsidR="00782D10" w:rsidRPr="00F97731" w:rsidRDefault="00782D10" w:rsidP="00DD2A87">
      <w:pPr>
        <w:pStyle w:val="Normal1"/>
        <w:numPr>
          <w:ilvl w:val="1"/>
          <w:numId w:val="1"/>
        </w:numPr>
        <w:tabs>
          <w:tab w:val="clear" w:pos="1093"/>
          <w:tab w:val="num" w:pos="709"/>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F97731">
        <w:rPr>
          <w:sz w:val="24"/>
          <w:szCs w:val="24"/>
        </w:rPr>
        <w:lastRenderedPageBreak/>
        <w:t>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tabs>
          <w:tab w:val="clear" w:pos="1093"/>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EE921C4" w14:textId="42B3AD62" w:rsidR="00DA0B4E" w:rsidRPr="000928BE" w:rsidRDefault="004A2306" w:rsidP="00954321">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074B2CDE"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A04EDFA" w14:textId="3DCE0168" w:rsidR="008E13D0" w:rsidRPr="000928BE" w:rsidRDefault="008E13D0" w:rsidP="0086132F">
      <w:pPr>
        <w:pStyle w:val="Normal1"/>
        <w:numPr>
          <w:ilvl w:val="1"/>
          <w:numId w:val="1"/>
        </w:numPr>
        <w:tabs>
          <w:tab w:val="clear" w:pos="1093"/>
        </w:tabs>
        <w:spacing w:line="240" w:lineRule="auto"/>
        <w:ind w:left="709" w:hanging="709"/>
        <w:jc w:val="both"/>
        <w:rPr>
          <w:sz w:val="24"/>
          <w:szCs w:val="24"/>
        </w:rPr>
      </w:pPr>
      <w:r w:rsidRPr="008E13D0">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Сторона, для которой создалась невозможность исполнения обязательств, обязана уведомить </w:t>
      </w:r>
      <w:r w:rsidRPr="000928BE">
        <w:rPr>
          <w:sz w:val="24"/>
          <w:szCs w:val="24"/>
        </w:rPr>
        <w:lastRenderedPageBreak/>
        <w:t>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clear" w:pos="1093"/>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5CBCE803"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0BFEB17" w14:textId="64840A1A" w:rsid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УЧАСТНИК ДОЛЕВОГО СТРОИТЕЛЬСТВА направляет уведомления ЗАСТРОЙЩИКУ по адресу для направления корреспонденции.</w:t>
      </w:r>
    </w:p>
    <w:p w14:paraId="4DAAB0D0" w14:textId="21D9F930" w:rsidR="004C7952" w:rsidRP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0A0C41D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97CEE59" w14:textId="5F5FB25C" w:rsidR="0011742A" w:rsidRPr="0011742A" w:rsidRDefault="0011742A" w:rsidP="0011742A">
      <w:pPr>
        <w:pStyle w:val="Normal1"/>
        <w:numPr>
          <w:ilvl w:val="1"/>
          <w:numId w:val="1"/>
        </w:numPr>
        <w:tabs>
          <w:tab w:val="clear" w:pos="1093"/>
        </w:tabs>
        <w:spacing w:line="240" w:lineRule="auto"/>
        <w:ind w:left="709" w:hanging="709"/>
        <w:jc w:val="both"/>
        <w:rPr>
          <w:sz w:val="24"/>
          <w:szCs w:val="24"/>
        </w:rPr>
      </w:pPr>
      <w:r w:rsidRPr="0011742A">
        <w:rPr>
          <w:sz w:val="24"/>
          <w:szCs w:val="24"/>
          <w:lang w:eastAsia="en-US"/>
        </w:rPr>
        <w:t>Особенности обработки персональных данных.</w:t>
      </w:r>
    </w:p>
    <w:p w14:paraId="08D0938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lastRenderedPageBreak/>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4B7F7DC"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0AC82A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sidRPr="0011742A">
        <w:rPr>
          <w:sz w:val="24"/>
          <w:szCs w:val="24"/>
          <w:lang w:eastAsia="en-US"/>
        </w:rPr>
        <w:t>СМС-сообщений</w:t>
      </w:r>
      <w:proofErr w:type="spellEnd"/>
      <w:r w:rsidRPr="0011742A">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51CD7F8"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E9631BD"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7757B213" w:rsidR="00DA0B4E" w:rsidRPr="000928BE" w:rsidRDefault="007E1C92" w:rsidP="008B7A8A">
      <w:pPr>
        <w:pStyle w:val="Normal1"/>
        <w:numPr>
          <w:ilvl w:val="1"/>
          <w:numId w:val="1"/>
        </w:numPr>
        <w:tabs>
          <w:tab w:val="clear" w:pos="1093"/>
        </w:tabs>
        <w:spacing w:line="240" w:lineRule="auto"/>
        <w:ind w:left="709" w:hanging="709"/>
        <w:jc w:val="both"/>
        <w:rPr>
          <w:sz w:val="24"/>
          <w:szCs w:val="24"/>
        </w:rPr>
      </w:pPr>
      <w:r w:rsidRPr="007E1C92">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48C52F24" w14:textId="115B83C3" w:rsidR="00954321" w:rsidRDefault="00954321" w:rsidP="00E71A08">
      <w:pPr>
        <w:pStyle w:val="a7"/>
        <w:ind w:left="709"/>
        <w:rPr>
          <w:sz w:val="24"/>
          <w:szCs w:val="24"/>
        </w:rPr>
      </w:pPr>
      <w:r>
        <w:rPr>
          <w:b/>
          <w:sz w:val="24"/>
          <w:szCs w:val="24"/>
        </w:rPr>
        <w:t>ООО</w:t>
      </w:r>
      <w:r w:rsidRPr="00FF1038">
        <w:rPr>
          <w:b/>
          <w:sz w:val="24"/>
          <w:szCs w:val="24"/>
        </w:rPr>
        <w:t xml:space="preserve"> </w:t>
      </w:r>
      <w:r w:rsidR="009D7B14">
        <w:rPr>
          <w:b/>
          <w:bCs/>
          <w:sz w:val="24"/>
          <w:szCs w:val="24"/>
        </w:rPr>
        <w:t>«</w:t>
      </w:r>
      <w:r w:rsidRPr="00FF1038">
        <w:rPr>
          <w:b/>
          <w:sz w:val="24"/>
          <w:szCs w:val="24"/>
        </w:rPr>
        <w:t xml:space="preserve">СПЕЦИАЛИЗИРОВАННЫЙ ЗАСТРОЙЩИК </w:t>
      </w:r>
      <w:r w:rsidR="009D7B14">
        <w:rPr>
          <w:b/>
          <w:bCs/>
          <w:sz w:val="24"/>
          <w:szCs w:val="24"/>
        </w:rPr>
        <w:t>«</w:t>
      </w:r>
      <w:r w:rsidRPr="00FF1038">
        <w:rPr>
          <w:b/>
          <w:sz w:val="24"/>
          <w:szCs w:val="24"/>
        </w:rPr>
        <w:t>ПРОЕКТ СТРОЙ</w:t>
      </w:r>
      <w:r w:rsidR="009D7B14">
        <w:rPr>
          <w:b/>
          <w:bCs/>
          <w:sz w:val="24"/>
          <w:szCs w:val="24"/>
        </w:rPr>
        <w:t>»</w:t>
      </w:r>
      <w:r w:rsidR="00721A93" w:rsidRPr="00C37AF3">
        <w:rPr>
          <w:sz w:val="24"/>
          <w:szCs w:val="24"/>
        </w:rPr>
        <w:t xml:space="preserve">, </w:t>
      </w:r>
    </w:p>
    <w:p w14:paraId="19E95444" w14:textId="2B67D0E2" w:rsidR="00721A93" w:rsidRPr="00C37AF3" w:rsidRDefault="00721A93" w:rsidP="00E71A08">
      <w:pPr>
        <w:pStyle w:val="a7"/>
        <w:ind w:left="709"/>
        <w:rPr>
          <w:sz w:val="24"/>
          <w:szCs w:val="24"/>
        </w:rPr>
      </w:pPr>
      <w:r w:rsidRPr="00C37AF3">
        <w:rPr>
          <w:sz w:val="24"/>
          <w:szCs w:val="24"/>
        </w:rPr>
        <w:t xml:space="preserve">Адрес: </w:t>
      </w:r>
      <w:r w:rsidR="00F70162" w:rsidRPr="00C37AF3">
        <w:rPr>
          <w:sz w:val="24"/>
          <w:szCs w:val="24"/>
        </w:rPr>
        <w:t>ХХХХХ</w:t>
      </w:r>
    </w:p>
    <w:p w14:paraId="27526EC6" w14:textId="6D7761FB" w:rsidR="00485165" w:rsidRDefault="00F70162" w:rsidP="00CE112C">
      <w:pPr>
        <w:pStyle w:val="a7"/>
        <w:ind w:left="709"/>
        <w:rPr>
          <w:sz w:val="24"/>
          <w:szCs w:val="24"/>
        </w:rPr>
      </w:pPr>
      <w:r w:rsidRPr="00C37AF3">
        <w:rPr>
          <w:sz w:val="24"/>
          <w:szCs w:val="24"/>
        </w:rPr>
        <w:t>ИНН</w:t>
      </w:r>
      <w:r w:rsidR="00954321" w:rsidRPr="00954321">
        <w:t xml:space="preserve"> </w:t>
      </w:r>
      <w:r w:rsidR="00954321" w:rsidRPr="00954321">
        <w:rPr>
          <w:sz w:val="24"/>
          <w:szCs w:val="24"/>
        </w:rPr>
        <w:t>9724115958</w:t>
      </w:r>
      <w:r w:rsidR="00721A93" w:rsidRPr="00C37AF3">
        <w:rPr>
          <w:sz w:val="24"/>
          <w:szCs w:val="24"/>
        </w:rPr>
        <w:t>, КПП</w:t>
      </w:r>
      <w:r w:rsidR="00954321" w:rsidRPr="00954321">
        <w:t xml:space="preserve"> </w:t>
      </w:r>
      <w:r w:rsidR="00954321" w:rsidRPr="00954321">
        <w:rPr>
          <w:sz w:val="24"/>
          <w:szCs w:val="24"/>
        </w:rPr>
        <w:t>772401001</w:t>
      </w:r>
      <w:r w:rsidR="00721A93" w:rsidRPr="00C37AF3">
        <w:rPr>
          <w:sz w:val="24"/>
          <w:szCs w:val="24"/>
        </w:rPr>
        <w:t xml:space="preserve">, ОГРН </w:t>
      </w:r>
      <w:r w:rsidR="00954321" w:rsidRPr="00954321">
        <w:rPr>
          <w:sz w:val="24"/>
          <w:szCs w:val="24"/>
        </w:rPr>
        <w:t>1227700918565</w:t>
      </w:r>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r w:rsidR="00975AD3" w:rsidRPr="000928BE" w14:paraId="2CAF0E0E" w14:textId="77777777" w:rsidTr="008062F9">
        <w:tc>
          <w:tcPr>
            <w:tcW w:w="5103" w:type="dxa"/>
          </w:tcPr>
          <w:p w14:paraId="68C8C681" w14:textId="7DD0D71F" w:rsidR="00975AD3" w:rsidRDefault="00975AD3" w:rsidP="008062F9">
            <w:pPr>
              <w:ind w:left="-108"/>
              <w:rPr>
                <w:sz w:val="24"/>
                <w:szCs w:val="24"/>
              </w:rPr>
            </w:pPr>
          </w:p>
          <w:p w14:paraId="1ED10CD9" w14:textId="7554AA14" w:rsidR="00514B0C" w:rsidRPr="000928BE" w:rsidRDefault="00514B0C" w:rsidP="008062F9">
            <w:pPr>
              <w:ind w:left="-108"/>
              <w:rPr>
                <w:sz w:val="24"/>
                <w:szCs w:val="24"/>
              </w:rPr>
            </w:pPr>
          </w:p>
        </w:tc>
        <w:tc>
          <w:tcPr>
            <w:tcW w:w="4820" w:type="dxa"/>
          </w:tcPr>
          <w:p w14:paraId="54E69355" w14:textId="77777777" w:rsidR="00975AD3" w:rsidRPr="000928BE" w:rsidRDefault="00975AD3" w:rsidP="008062F9">
            <w:pPr>
              <w:rPr>
                <w:bCs/>
                <w:caps/>
                <w:sz w:val="24"/>
                <w:szCs w:val="24"/>
              </w:rPr>
            </w:pPr>
          </w:p>
        </w:tc>
      </w:tr>
    </w:tbl>
    <w:p w14:paraId="17993DD2" w14:textId="77777777" w:rsidR="00B41923" w:rsidRDefault="00B41923" w:rsidP="00B41923">
      <w:pPr>
        <w:tabs>
          <w:tab w:val="left" w:pos="5670"/>
        </w:tabs>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4"/>
      </w:tblGrid>
      <w:tr w:rsidR="00F86383" w14:paraId="0784B00A" w14:textId="77777777" w:rsidTr="00454EE9">
        <w:tc>
          <w:tcPr>
            <w:tcW w:w="5382" w:type="dxa"/>
          </w:tcPr>
          <w:p w14:paraId="7802B4E9" w14:textId="14CDC1BF" w:rsidR="002C02F2" w:rsidRDefault="00F86383" w:rsidP="00454EE9">
            <w:pPr>
              <w:tabs>
                <w:tab w:val="left" w:pos="4253"/>
              </w:tabs>
              <w:rPr>
                <w:iCs/>
                <w:sz w:val="24"/>
                <w:szCs w:val="24"/>
              </w:rPr>
            </w:pPr>
            <w:r w:rsidRPr="00CB2C85">
              <w:rPr>
                <w:iCs/>
                <w:sz w:val="24"/>
                <w:szCs w:val="24"/>
              </w:rPr>
              <w:t xml:space="preserve">Россия, </w:t>
            </w:r>
            <w:r w:rsidR="002C02F2" w:rsidRPr="002C02F2">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2C02F2">
              <w:rPr>
                <w:iCs/>
                <w:sz w:val="24"/>
                <w:szCs w:val="24"/>
              </w:rPr>
              <w:t>3</w:t>
            </w:r>
          </w:p>
          <w:p w14:paraId="234D5CF4" w14:textId="484E1EDC" w:rsidR="00F86383" w:rsidRDefault="00F86383" w:rsidP="00454EE9">
            <w:pPr>
              <w:tabs>
                <w:tab w:val="left" w:pos="4253"/>
              </w:tabs>
              <w:rPr>
                <w:b/>
                <w:sz w:val="24"/>
                <w:szCs w:val="24"/>
              </w:rPr>
            </w:pPr>
            <w:r w:rsidRPr="00B441D9">
              <w:rPr>
                <w:sz w:val="24"/>
                <w:szCs w:val="24"/>
              </w:rPr>
              <w:t>Секция Х, этаж ХХ</w:t>
            </w:r>
          </w:p>
        </w:tc>
        <w:tc>
          <w:tcPr>
            <w:tcW w:w="4814" w:type="dxa"/>
          </w:tcPr>
          <w:p w14:paraId="69F3BE80" w14:textId="77777777" w:rsidR="00F86383" w:rsidRDefault="00F86383" w:rsidP="00454EE9">
            <w:pPr>
              <w:tabs>
                <w:tab w:val="left" w:pos="4253"/>
              </w:tabs>
              <w:rPr>
                <w:sz w:val="24"/>
                <w:szCs w:val="24"/>
              </w:rPr>
            </w:pPr>
            <w:r w:rsidRPr="00B441D9">
              <w:rPr>
                <w:sz w:val="24"/>
                <w:szCs w:val="24"/>
              </w:rPr>
              <w:t>Приложение № 1</w:t>
            </w:r>
          </w:p>
          <w:p w14:paraId="46E027BD" w14:textId="77777777" w:rsidR="00F86383" w:rsidRDefault="00F86383" w:rsidP="00454EE9">
            <w:pPr>
              <w:tabs>
                <w:tab w:val="left" w:pos="4253"/>
              </w:tabs>
              <w:rPr>
                <w:sz w:val="24"/>
                <w:szCs w:val="24"/>
              </w:rPr>
            </w:pPr>
            <w:r w:rsidRPr="00B441D9">
              <w:rPr>
                <w:sz w:val="24"/>
                <w:szCs w:val="24"/>
              </w:rPr>
              <w:t>к Договору участия в долевом строительстве</w:t>
            </w:r>
          </w:p>
          <w:p w14:paraId="20616570" w14:textId="77777777" w:rsidR="00F86383" w:rsidRDefault="00F86383" w:rsidP="00454EE9">
            <w:pPr>
              <w:tabs>
                <w:tab w:val="left" w:pos="4253"/>
              </w:tabs>
              <w:rPr>
                <w:sz w:val="24"/>
                <w:szCs w:val="24"/>
              </w:rPr>
            </w:pPr>
            <w:r w:rsidRPr="00B441D9">
              <w:rPr>
                <w:sz w:val="24"/>
                <w:szCs w:val="24"/>
              </w:rPr>
              <w:t>№ ХХХХХ</w:t>
            </w:r>
          </w:p>
          <w:p w14:paraId="537D431E" w14:textId="77777777" w:rsidR="00F86383" w:rsidRDefault="00F863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66788816" w14:textId="77777777"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5A74A26D" w:rsidR="00B41923" w:rsidRPr="00B441D9" w:rsidRDefault="00514B0C" w:rsidP="00B41923">
      <w:pPr>
        <w:tabs>
          <w:tab w:val="left" w:pos="4253"/>
        </w:tabs>
        <w:jc w:val="center"/>
        <w:rPr>
          <w:b/>
          <w:sz w:val="24"/>
          <w:szCs w:val="24"/>
        </w:rPr>
      </w:pPr>
      <w:r>
        <w:rPr>
          <w:noProof/>
        </w:rPr>
        <w:drawing>
          <wp:inline distT="0" distB="0" distL="0" distR="0" wp14:anchorId="478814D3" wp14:editId="6B4BEB87">
            <wp:extent cx="6480810" cy="2889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2889885"/>
                    </a:xfrm>
                    <a:prstGeom prst="rect">
                      <a:avLst/>
                    </a:prstGeom>
                  </pic:spPr>
                </pic:pic>
              </a:graphicData>
            </a:graphic>
          </wp:inline>
        </w:drawing>
      </w: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Pr>
          <w:bCs/>
          <w:sz w:val="24"/>
          <w:szCs w:val="24"/>
          <w:highlight w:val="yellow"/>
        </w:rPr>
        <w:t>«</w:t>
      </w:r>
      <w:r w:rsidR="00450B61" w:rsidRPr="00A80E3E">
        <w:rPr>
          <w:bCs/>
          <w:sz w:val="24"/>
          <w:szCs w:val="24"/>
          <w:highlight w:val="yellow"/>
        </w:rPr>
        <w:t>__</w:t>
      </w:r>
      <w:r w:rsidR="00450B61">
        <w:rPr>
          <w:bCs/>
          <w:sz w:val="24"/>
          <w:szCs w:val="24"/>
          <w:highlight w:val="yellow"/>
        </w:rPr>
        <w:t xml:space="preserve">» </w:t>
      </w:r>
      <w:r w:rsidR="00450B61" w:rsidRPr="00A80E3E">
        <w:rPr>
          <w:bCs/>
          <w:sz w:val="24"/>
          <w:szCs w:val="24"/>
          <w:highlight w:val="yellow"/>
        </w:rPr>
        <w:t>________</w:t>
      </w:r>
      <w:r w:rsidR="00450B61">
        <w:rPr>
          <w:bCs/>
          <w:sz w:val="24"/>
          <w:szCs w:val="24"/>
          <w:highlight w:val="yellow"/>
        </w:rPr>
        <w:t xml:space="preserve"> 20___</w:t>
      </w:r>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w:t>
      </w:r>
      <w:proofErr w:type="spellStart"/>
      <w:r w:rsidRPr="00F07ED7">
        <w:rPr>
          <w:sz w:val="24"/>
          <w:szCs w:val="24"/>
        </w:rPr>
        <w:t>сантехоборудования</w:t>
      </w:r>
      <w:proofErr w:type="spellEnd"/>
      <w:r w:rsidRPr="00F07ED7">
        <w:rPr>
          <w:sz w:val="24"/>
          <w:szCs w:val="24"/>
        </w:rPr>
        <w:t xml:space="preserve">. </w:t>
      </w:r>
    </w:p>
    <w:p w14:paraId="430C5D49" w14:textId="77777777" w:rsidR="0068255C" w:rsidRPr="00F07ED7" w:rsidRDefault="0068255C" w:rsidP="0068255C">
      <w:pPr>
        <w:pStyle w:val="aff3"/>
        <w:numPr>
          <w:ilvl w:val="0"/>
          <w:numId w:val="44"/>
        </w:numPr>
        <w:jc w:val="both"/>
        <w:rPr>
          <w:sz w:val="24"/>
          <w:szCs w:val="24"/>
        </w:rPr>
      </w:pPr>
      <w:proofErr w:type="spellStart"/>
      <w:r w:rsidRPr="00F07ED7">
        <w:rPr>
          <w:sz w:val="24"/>
          <w:szCs w:val="24"/>
        </w:rPr>
        <w:t>Сантехоборудование</w:t>
      </w:r>
      <w:proofErr w:type="spellEnd"/>
      <w:r w:rsidRPr="00F07ED7">
        <w:rPr>
          <w:sz w:val="24"/>
          <w:szCs w:val="24"/>
        </w:rPr>
        <w:t xml:space="preserve">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E6E00" w14:textId="77777777" w:rsidR="00B173FE" w:rsidRDefault="00B173FE">
      <w:r>
        <w:separator/>
      </w:r>
    </w:p>
  </w:endnote>
  <w:endnote w:type="continuationSeparator" w:id="0">
    <w:p w14:paraId="5CAF611A" w14:textId="77777777" w:rsidR="00B173FE" w:rsidRDefault="00B1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613D780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11742A">
          <w:rPr>
            <w:noProof/>
            <w:sz w:val="22"/>
            <w:szCs w:val="22"/>
          </w:rPr>
          <w:t>9</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15597" w14:textId="77777777" w:rsidR="00B173FE" w:rsidRDefault="00B173FE">
      <w:r>
        <w:separator/>
      </w:r>
    </w:p>
  </w:footnote>
  <w:footnote w:type="continuationSeparator" w:id="0">
    <w:p w14:paraId="6553CF8C" w14:textId="77777777" w:rsidR="00B173FE" w:rsidRDefault="00B1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1C30"/>
    <w:rsid w:val="000023F5"/>
    <w:rsid w:val="00002DC3"/>
    <w:rsid w:val="00005A04"/>
    <w:rsid w:val="000062FB"/>
    <w:rsid w:val="000063C3"/>
    <w:rsid w:val="0000652F"/>
    <w:rsid w:val="0000653A"/>
    <w:rsid w:val="000066AC"/>
    <w:rsid w:val="0000774B"/>
    <w:rsid w:val="0001057B"/>
    <w:rsid w:val="00011DD1"/>
    <w:rsid w:val="000136EE"/>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5DA7"/>
    <w:rsid w:val="00057CCA"/>
    <w:rsid w:val="000606F2"/>
    <w:rsid w:val="00060BA4"/>
    <w:rsid w:val="000619B8"/>
    <w:rsid w:val="000640D6"/>
    <w:rsid w:val="00065C0D"/>
    <w:rsid w:val="0006646E"/>
    <w:rsid w:val="0007321B"/>
    <w:rsid w:val="000767C6"/>
    <w:rsid w:val="00077D14"/>
    <w:rsid w:val="00080411"/>
    <w:rsid w:val="00080E96"/>
    <w:rsid w:val="0008245E"/>
    <w:rsid w:val="00083AB1"/>
    <w:rsid w:val="00084DF0"/>
    <w:rsid w:val="00086572"/>
    <w:rsid w:val="00090B8C"/>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C6C14"/>
    <w:rsid w:val="000C6D36"/>
    <w:rsid w:val="000D12F3"/>
    <w:rsid w:val="000D2E2F"/>
    <w:rsid w:val="000D7C5F"/>
    <w:rsid w:val="000E00CF"/>
    <w:rsid w:val="000E26DF"/>
    <w:rsid w:val="000E3E41"/>
    <w:rsid w:val="000E3F5E"/>
    <w:rsid w:val="000E5070"/>
    <w:rsid w:val="000F2D9D"/>
    <w:rsid w:val="000F318E"/>
    <w:rsid w:val="000F3850"/>
    <w:rsid w:val="000F3B08"/>
    <w:rsid w:val="001004B5"/>
    <w:rsid w:val="0010175A"/>
    <w:rsid w:val="00102548"/>
    <w:rsid w:val="00102FF2"/>
    <w:rsid w:val="0010368A"/>
    <w:rsid w:val="001079D8"/>
    <w:rsid w:val="00111715"/>
    <w:rsid w:val="001133DD"/>
    <w:rsid w:val="00113FF9"/>
    <w:rsid w:val="00114DD6"/>
    <w:rsid w:val="00114E1E"/>
    <w:rsid w:val="0011563A"/>
    <w:rsid w:val="00115764"/>
    <w:rsid w:val="0011742A"/>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AA5"/>
    <w:rsid w:val="001946F2"/>
    <w:rsid w:val="001955E5"/>
    <w:rsid w:val="00197F20"/>
    <w:rsid w:val="001A0FF5"/>
    <w:rsid w:val="001A15AB"/>
    <w:rsid w:val="001A4705"/>
    <w:rsid w:val="001A504B"/>
    <w:rsid w:val="001A74F4"/>
    <w:rsid w:val="001B0E0B"/>
    <w:rsid w:val="001B0E6E"/>
    <w:rsid w:val="001B1C6B"/>
    <w:rsid w:val="001B36F8"/>
    <w:rsid w:val="001B3E12"/>
    <w:rsid w:val="001B5EA2"/>
    <w:rsid w:val="001B6AF4"/>
    <w:rsid w:val="001C3F38"/>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4A04"/>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5CE9"/>
    <w:rsid w:val="0028654F"/>
    <w:rsid w:val="002874D8"/>
    <w:rsid w:val="0029087C"/>
    <w:rsid w:val="002922E8"/>
    <w:rsid w:val="002924F0"/>
    <w:rsid w:val="0029382C"/>
    <w:rsid w:val="00296542"/>
    <w:rsid w:val="0029768E"/>
    <w:rsid w:val="002A0C3E"/>
    <w:rsid w:val="002A1605"/>
    <w:rsid w:val="002A3AAD"/>
    <w:rsid w:val="002A41CC"/>
    <w:rsid w:val="002A4CAE"/>
    <w:rsid w:val="002A50B4"/>
    <w:rsid w:val="002A5124"/>
    <w:rsid w:val="002A5882"/>
    <w:rsid w:val="002A7FFA"/>
    <w:rsid w:val="002B18F9"/>
    <w:rsid w:val="002B2317"/>
    <w:rsid w:val="002B2FF3"/>
    <w:rsid w:val="002B3A84"/>
    <w:rsid w:val="002B3F1A"/>
    <w:rsid w:val="002B63AD"/>
    <w:rsid w:val="002C02F2"/>
    <w:rsid w:val="002C0794"/>
    <w:rsid w:val="002C1EB5"/>
    <w:rsid w:val="002C28AE"/>
    <w:rsid w:val="002C348F"/>
    <w:rsid w:val="002C43EB"/>
    <w:rsid w:val="002C66CD"/>
    <w:rsid w:val="002C7438"/>
    <w:rsid w:val="002C7D57"/>
    <w:rsid w:val="002D0AF0"/>
    <w:rsid w:val="002D1657"/>
    <w:rsid w:val="002D3247"/>
    <w:rsid w:val="002D3CA0"/>
    <w:rsid w:val="002D588D"/>
    <w:rsid w:val="002D5B46"/>
    <w:rsid w:val="002E04C0"/>
    <w:rsid w:val="002E1600"/>
    <w:rsid w:val="002E22B7"/>
    <w:rsid w:val="002E2D4C"/>
    <w:rsid w:val="002E582F"/>
    <w:rsid w:val="002E7488"/>
    <w:rsid w:val="002E79FD"/>
    <w:rsid w:val="002F0FF8"/>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3CAE"/>
    <w:rsid w:val="004A5550"/>
    <w:rsid w:val="004A6EAD"/>
    <w:rsid w:val="004A739E"/>
    <w:rsid w:val="004A7B3F"/>
    <w:rsid w:val="004B13EE"/>
    <w:rsid w:val="004B2185"/>
    <w:rsid w:val="004B459F"/>
    <w:rsid w:val="004B4BF3"/>
    <w:rsid w:val="004B4D75"/>
    <w:rsid w:val="004B6B8F"/>
    <w:rsid w:val="004C4E23"/>
    <w:rsid w:val="004C60A5"/>
    <w:rsid w:val="004C6229"/>
    <w:rsid w:val="004C7952"/>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0B0E"/>
    <w:rsid w:val="004F4201"/>
    <w:rsid w:val="004F602C"/>
    <w:rsid w:val="004F7014"/>
    <w:rsid w:val="005000B8"/>
    <w:rsid w:val="00500C14"/>
    <w:rsid w:val="00504B0B"/>
    <w:rsid w:val="00505770"/>
    <w:rsid w:val="00507A42"/>
    <w:rsid w:val="00511BAC"/>
    <w:rsid w:val="00514B0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290F"/>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000"/>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357F4"/>
    <w:rsid w:val="0064051D"/>
    <w:rsid w:val="00641FF5"/>
    <w:rsid w:val="00643536"/>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1E4"/>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807"/>
    <w:rsid w:val="006E0B7F"/>
    <w:rsid w:val="006E2367"/>
    <w:rsid w:val="006E3E5E"/>
    <w:rsid w:val="006E6D4B"/>
    <w:rsid w:val="006E75F0"/>
    <w:rsid w:val="006F10EA"/>
    <w:rsid w:val="006F1635"/>
    <w:rsid w:val="006F30A7"/>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1C92"/>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1DE"/>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697"/>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13D0"/>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45211"/>
    <w:rsid w:val="00952B11"/>
    <w:rsid w:val="009541CB"/>
    <w:rsid w:val="00954321"/>
    <w:rsid w:val="00954E76"/>
    <w:rsid w:val="00956096"/>
    <w:rsid w:val="00961BDC"/>
    <w:rsid w:val="00962DB9"/>
    <w:rsid w:val="00963086"/>
    <w:rsid w:val="0096344A"/>
    <w:rsid w:val="0096492D"/>
    <w:rsid w:val="0097088D"/>
    <w:rsid w:val="00972431"/>
    <w:rsid w:val="00973B1E"/>
    <w:rsid w:val="009741A5"/>
    <w:rsid w:val="00974976"/>
    <w:rsid w:val="009753D4"/>
    <w:rsid w:val="00975AD3"/>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6EAC"/>
    <w:rsid w:val="009C79A2"/>
    <w:rsid w:val="009D0FEA"/>
    <w:rsid w:val="009D5636"/>
    <w:rsid w:val="009D77A7"/>
    <w:rsid w:val="009D79D8"/>
    <w:rsid w:val="009D7B14"/>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4D5"/>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B51AB"/>
    <w:rsid w:val="00AC123C"/>
    <w:rsid w:val="00AC1AD9"/>
    <w:rsid w:val="00AC25F7"/>
    <w:rsid w:val="00AC3248"/>
    <w:rsid w:val="00AC51DC"/>
    <w:rsid w:val="00AC6C4A"/>
    <w:rsid w:val="00AC7848"/>
    <w:rsid w:val="00AD085D"/>
    <w:rsid w:val="00AD1570"/>
    <w:rsid w:val="00AD31C0"/>
    <w:rsid w:val="00AD3935"/>
    <w:rsid w:val="00AD6F83"/>
    <w:rsid w:val="00AD7C76"/>
    <w:rsid w:val="00AE0109"/>
    <w:rsid w:val="00AE18E0"/>
    <w:rsid w:val="00AE1EA2"/>
    <w:rsid w:val="00AE2B8B"/>
    <w:rsid w:val="00AE3AA8"/>
    <w:rsid w:val="00AE3C72"/>
    <w:rsid w:val="00AE3CD5"/>
    <w:rsid w:val="00AE42D2"/>
    <w:rsid w:val="00AE595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173FE"/>
    <w:rsid w:val="00B22F9D"/>
    <w:rsid w:val="00B23002"/>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3C5"/>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2A87"/>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26D1"/>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315"/>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4776"/>
    <w:rsid w:val="00F678A2"/>
    <w:rsid w:val="00F70162"/>
    <w:rsid w:val="00F7079C"/>
    <w:rsid w:val="00F7121A"/>
    <w:rsid w:val="00F72E55"/>
    <w:rsid w:val="00F759D7"/>
    <w:rsid w:val="00F767A8"/>
    <w:rsid w:val="00F7756B"/>
    <w:rsid w:val="00F80C86"/>
    <w:rsid w:val="00F81459"/>
    <w:rsid w:val="00F8341E"/>
    <w:rsid w:val="00F845FF"/>
    <w:rsid w:val="00F86383"/>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24EC"/>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1038"/>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86524F64-E851-4BD4-A2EA-D733AC1E8045}">
  <ds:schemaRefs>
    <ds:schemaRef ds:uri="http://schemas.openxmlformats.org/officeDocument/2006/bibliography"/>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5997</Words>
  <Characters>34186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16</cp:revision>
  <cp:lastPrinted>2017-02-27T11:20:00Z</cp:lastPrinted>
  <dcterms:created xsi:type="dcterms:W3CDTF">2023-04-26T10:54:00Z</dcterms:created>
  <dcterms:modified xsi:type="dcterms:W3CDTF">2023-05-03T07:41:00Z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