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w:t>
      </w:r>
      <w:proofErr w:type="gramStart"/>
      <w:r w:rsidRPr="007C506A">
        <w:rPr>
          <w:b/>
          <w:bCs/>
          <w:spacing w:val="20"/>
          <w:kern w:val="0"/>
        </w:rPr>
        <w:t>]»[</w:t>
      </w:r>
      <w:proofErr w:type="gramEnd"/>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w:t>
      </w:r>
      <w:proofErr w:type="gramStart"/>
      <w:r w:rsidRPr="007C506A">
        <w:rPr>
          <w:kern w:val="0"/>
        </w:rPr>
        <w:t>●]г.</w:t>
      </w:r>
      <w:proofErr w:type="gramEnd"/>
      <w:r w:rsidRPr="007C506A">
        <w:rPr>
          <w:kern w:val="0"/>
        </w:rPr>
        <w:t>,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4F217F03"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w:t>
      </w:r>
      <w:r w:rsidR="00A56513">
        <w:rPr>
          <w:rFonts w:ascii="Times New Roman" w:hAnsi="Times New Roman" w:cs="Times New Roman"/>
        </w:rPr>
        <w:t>3</w:t>
      </w:r>
      <w:r w:rsidR="005C5414">
        <w:rPr>
          <w:rFonts w:ascii="Times New Roman" w:hAnsi="Times New Roman" w:cs="Times New Roman"/>
        </w:rPr>
        <w:t xml:space="preserve">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C63810">
        <w:rPr>
          <w:rFonts w:ascii="Times New Roman" w:hAnsi="Times New Roman" w:cs="Times New Roman"/>
          <w:b/>
          <w:i/>
        </w:rPr>
        <w:t>2</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 xml:space="preserve">При определении Общей площади не учитываются любые отделочные работы (например, штукатурка, шпаклевка, </w:t>
      </w:r>
      <w:proofErr w:type="spellStart"/>
      <w:r w:rsidRPr="007C506A">
        <w:rPr>
          <w:rFonts w:ascii="Times New Roman" w:hAnsi="Times New Roman" w:cs="Times New Roman"/>
        </w:rPr>
        <w:t>фальш</w:t>
      </w:r>
      <w:proofErr w:type="spellEnd"/>
      <w:r w:rsidRPr="007C506A">
        <w:rPr>
          <w:rFonts w:ascii="Times New Roman" w:hAnsi="Times New Roman" w:cs="Times New Roman"/>
        </w:rPr>
        <w:t>-стены,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w:t>
      </w:r>
      <w:proofErr w:type="spellStart"/>
      <w:r w:rsidRPr="007C506A">
        <w:rPr>
          <w:color w:val="000000"/>
        </w:rPr>
        <w:t>Воронцовская</w:t>
      </w:r>
      <w:proofErr w:type="spellEnd"/>
      <w:r w:rsidRPr="007C506A">
        <w:rPr>
          <w:color w:val="000000"/>
        </w:rPr>
        <w:t xml:space="preserve">,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lastRenderedPageBreak/>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 xml:space="preserve">Окончательная Цена Договора устанавливается с учетом </w:t>
      </w:r>
      <w:proofErr w:type="spellStart"/>
      <w:r w:rsidRPr="007C506A">
        <w:t>п.п</w:t>
      </w:r>
      <w:proofErr w:type="spellEnd"/>
      <w:r w:rsidRPr="007C506A">
        <w:t>.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w:t>
      </w:r>
      <w:proofErr w:type="spellStart"/>
      <w:r w:rsidRPr="007C506A">
        <w:rPr>
          <w:sz w:val="20"/>
          <w:szCs w:val="20"/>
        </w:rPr>
        <w:t>п.п</w:t>
      </w:r>
      <w:proofErr w:type="spellEnd"/>
      <w:r w:rsidRPr="007C506A">
        <w:rPr>
          <w:sz w:val="20"/>
          <w:szCs w:val="20"/>
        </w:rPr>
        <w:t>.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w:t>
      </w:r>
      <w:proofErr w:type="spellStart"/>
      <w:r w:rsidRPr="007C506A">
        <w:t>п.п</w:t>
      </w:r>
      <w:proofErr w:type="spellEnd"/>
      <w:r w:rsidRPr="007C506A">
        <w:t xml:space="preserve">.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w:t>
      </w:r>
      <w:r w:rsidRPr="007C506A">
        <w:lastRenderedPageBreak/>
        <w:t xml:space="preserve">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w:t>
      </w:r>
      <w:proofErr w:type="spellStart"/>
      <w:r w:rsidR="006E630C" w:rsidRPr="007C506A">
        <w:rPr>
          <w:color w:val="000000"/>
        </w:rPr>
        <w:t>Воронцовская</w:t>
      </w:r>
      <w:proofErr w:type="spellEnd"/>
      <w:r w:rsidR="006E630C" w:rsidRPr="007C506A">
        <w:rPr>
          <w:color w:val="000000"/>
        </w:rPr>
        <w:t xml:space="preserve">, д.43, стр.1, </w:t>
      </w:r>
      <w:proofErr w:type="spellStart"/>
      <w:r w:rsidR="006E630C" w:rsidRPr="007C506A">
        <w:rPr>
          <w:color w:val="000000"/>
        </w:rPr>
        <w:t>кор</w:t>
      </w:r>
      <w:proofErr w:type="spellEnd"/>
      <w:r w:rsidR="006E630C" w:rsidRPr="007C506A">
        <w:rPr>
          <w:color w:val="000000"/>
        </w:rPr>
        <w:t>/счет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7C506A">
        <w:rPr>
          <w:color w:val="000000"/>
        </w:rPr>
        <w:t>невозобновляемой</w:t>
      </w:r>
      <w:proofErr w:type="spellEnd"/>
      <w:r w:rsidRPr="007C506A">
        <w:rPr>
          <w:color w:val="000000"/>
        </w:rPr>
        <w:t xml:space="preserve">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proofErr w:type="gramStart"/>
      <w:r w:rsidRPr="007C506A">
        <w:rPr>
          <w:b/>
          <w:i/>
          <w:iCs/>
          <w:sz w:val="20"/>
          <w:szCs w:val="20"/>
        </w:rPr>
        <w:t>№</w:t>
      </w:r>
      <w:r w:rsidRPr="007C506A">
        <w:rPr>
          <w:sz w:val="20"/>
          <w:szCs w:val="20"/>
        </w:rPr>
        <w:t>[</w:t>
      </w:r>
      <w:proofErr w:type="gramEnd"/>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46ED2777"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w:t>
      </w:r>
      <w:r w:rsidR="004929B4">
        <w:rPr>
          <w:sz w:val="20"/>
          <w:szCs w:val="20"/>
        </w:rPr>
        <w:t>0</w:t>
      </w:r>
      <w:r w:rsidR="00D568E0">
        <w:rPr>
          <w:sz w:val="20"/>
          <w:szCs w:val="20"/>
        </w:rPr>
        <w:t>.0</w:t>
      </w:r>
      <w:r w:rsidR="004929B4">
        <w:rPr>
          <w:sz w:val="20"/>
          <w:szCs w:val="20"/>
        </w:rPr>
        <w:t>9</w:t>
      </w:r>
      <w:r w:rsidR="00D568E0">
        <w:rPr>
          <w:sz w:val="20"/>
          <w:szCs w:val="20"/>
        </w:rPr>
        <w:t>.2025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w:t>
      </w:r>
      <w:r w:rsidRPr="007C506A">
        <w:rPr>
          <w:sz w:val="20"/>
          <w:szCs w:val="20"/>
        </w:rPr>
        <w:lastRenderedPageBreak/>
        <w:t>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7C506A">
        <w:rPr>
          <w:sz w:val="20"/>
          <w:szCs w:val="20"/>
        </w:rPr>
        <w:t>неуведомления</w:t>
      </w:r>
      <w:proofErr w:type="spellEnd"/>
      <w:r w:rsidRPr="007C506A">
        <w:rPr>
          <w:sz w:val="20"/>
          <w:szCs w:val="20"/>
        </w:rPr>
        <w:t xml:space="preserve">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lastRenderedPageBreak/>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 xml:space="preserve">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w:t>
      </w:r>
      <w:proofErr w:type="spellStart"/>
      <w:r w:rsidRPr="007C506A">
        <w:rPr>
          <w:rFonts w:ascii="Times New Roman" w:hAnsi="Times New Roman" w:cs="Times New Roman"/>
        </w:rPr>
        <w:t>sig</w:t>
      </w:r>
      <w:proofErr w:type="spellEnd"/>
      <w:r w:rsidRPr="007C506A">
        <w:rPr>
          <w:rFonts w:ascii="Times New Roman" w:hAnsi="Times New Roman" w:cs="Times New Roman"/>
        </w:rPr>
        <w:t>.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w:t>
      </w:r>
      <w:r w:rsidRPr="007C506A">
        <w:rPr>
          <w:sz w:val="20"/>
          <w:szCs w:val="20"/>
        </w:rPr>
        <w:lastRenderedPageBreak/>
        <w:t>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lastRenderedPageBreak/>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spellStart"/>
      <w:r w:rsidRPr="007C506A">
        <w:rPr>
          <w:rFonts w:ascii="Times New Roman" w:hAnsi="Times New Roman" w:cs="Times New Roman"/>
        </w:rPr>
        <w:t>недостижении</w:t>
      </w:r>
      <w:proofErr w:type="spellEnd"/>
      <w:r w:rsidRPr="007C506A">
        <w:rPr>
          <w:rFonts w:ascii="Times New Roman" w:hAnsi="Times New Roman" w:cs="Times New Roman"/>
        </w:rPr>
        <w:t xml:space="preserve">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lastRenderedPageBreak/>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w:t>
      </w:r>
      <w:proofErr w:type="spellStart"/>
      <w:r w:rsidRPr="007C506A">
        <w:t>невозникновения</w:t>
      </w:r>
      <w:proofErr w:type="spellEnd"/>
      <w:r w:rsidRPr="007C506A">
        <w:t xml:space="preserve">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lastRenderedPageBreak/>
        <w:t xml:space="preserve">Местонахождение: Российская Федерация, </w:t>
      </w:r>
      <w:r w:rsidR="00D568E0">
        <w:rPr>
          <w:bCs/>
        </w:rPr>
        <w:t xml:space="preserve">Ленинградская область, Всеволожский муниципальный район, Заневское </w:t>
      </w:r>
      <w:proofErr w:type="spellStart"/>
      <w:r w:rsidR="00D568E0">
        <w:rPr>
          <w:bCs/>
        </w:rPr>
        <w:t>г.п</w:t>
      </w:r>
      <w:proofErr w:type="spellEnd"/>
      <w:r w:rsidR="00D568E0">
        <w:rPr>
          <w:bCs/>
        </w:rPr>
        <w:t>.,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lastRenderedPageBreak/>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65EF0749" w:rsidR="00F4113E" w:rsidRPr="007C506A" w:rsidRDefault="006E251C" w:rsidP="00CE4B71">
            <w:pPr>
              <w:pStyle w:val="Standard"/>
              <w:rPr>
                <w:b/>
                <w:i/>
                <w:sz w:val="20"/>
                <w:szCs w:val="20"/>
              </w:rPr>
            </w:pPr>
            <w:r>
              <w:rPr>
                <w:b/>
                <w:i/>
                <w:sz w:val="20"/>
                <w:szCs w:val="20"/>
              </w:rPr>
              <w:t>2</w:t>
            </w:r>
            <w:bookmarkStart w:id="22" w:name="_GoBack"/>
            <w:bookmarkEnd w:id="22"/>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73CA589C" w:rsidR="00F4113E" w:rsidRPr="007C506A" w:rsidRDefault="00C63810" w:rsidP="00CE4B71">
            <w:pPr>
              <w:pStyle w:val="Standard"/>
              <w:rPr>
                <w:i/>
                <w:sz w:val="20"/>
                <w:szCs w:val="20"/>
              </w:rPr>
            </w:pPr>
            <w:r>
              <w:rPr>
                <w:bCs/>
                <w:spacing w:val="20"/>
                <w:kern w:val="0"/>
                <w:sz w:val="20"/>
                <w:szCs w:val="20"/>
              </w:rPr>
              <w:t>3-8</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23F5622C" w:rsidR="00F4113E" w:rsidRPr="007C506A" w:rsidRDefault="00C63810" w:rsidP="00C63810">
            <w:pPr>
              <w:widowControl/>
              <w:suppressAutoHyphens w:val="0"/>
              <w:autoSpaceDN/>
              <w:spacing w:line="240" w:lineRule="atLeast"/>
              <w:contextualSpacing/>
              <w:textAlignment w:val="auto"/>
              <w:rPr>
                <w:b/>
                <w:i/>
              </w:rPr>
            </w:pPr>
            <w:r>
              <w:rPr>
                <w:b/>
                <w:bCs/>
                <w:i/>
                <w:color w:val="000000"/>
                <w:shd w:val="clear" w:color="auto" w:fill="FFFFFF"/>
              </w:rPr>
              <w:t>6 364,1</w:t>
            </w:r>
            <w:r w:rsidR="00A56513">
              <w:rPr>
                <w:b/>
                <w:bCs/>
                <w:i/>
                <w:color w:val="000000"/>
                <w:shd w:val="clear" w:color="auto" w:fill="FFFFFF"/>
              </w:rPr>
              <w:t xml:space="preserve"> </w:t>
            </w:r>
            <w:r w:rsidR="00D568E0">
              <w:rPr>
                <w:b/>
                <w:i/>
              </w:rPr>
              <w:t>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3DAD56B5" w:rsidR="00F4113E" w:rsidRPr="007C506A" w:rsidRDefault="00C63810" w:rsidP="004C4546">
            <w:pPr>
              <w:pStyle w:val="Standard"/>
              <w:rPr>
                <w:i/>
                <w:sz w:val="20"/>
                <w:szCs w:val="20"/>
              </w:rPr>
            </w:pPr>
            <w:r>
              <w:rPr>
                <w:bCs/>
                <w:spacing w:val="20"/>
                <w:kern w:val="0"/>
                <w:sz w:val="20"/>
                <w:szCs w:val="20"/>
              </w:rPr>
              <w:t>Высокий</w:t>
            </w:r>
            <w:r w:rsidR="004929B4">
              <w:rPr>
                <w:bCs/>
                <w:spacing w:val="20"/>
                <w:kern w:val="0"/>
                <w:sz w:val="20"/>
                <w:szCs w:val="20"/>
              </w:rPr>
              <w:t xml:space="preserve"> «</w:t>
            </w:r>
            <w:r>
              <w:rPr>
                <w:bCs/>
                <w:spacing w:val="20"/>
                <w:kern w:val="0"/>
                <w:sz w:val="20"/>
                <w:szCs w:val="20"/>
              </w:rPr>
              <w:t>В</w:t>
            </w:r>
            <w:r w:rsidR="00B56418" w:rsidRPr="007C506A">
              <w:rPr>
                <w:bCs/>
                <w:spacing w:val="20"/>
                <w:kern w:val="0"/>
                <w:sz w:val="20"/>
                <w:szCs w:val="20"/>
              </w:rPr>
              <w:t>»</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w:t>
      </w:r>
      <w:proofErr w:type="gramStart"/>
      <w:r w:rsidRPr="007C506A">
        <w:rPr>
          <w:i/>
          <w:iCs/>
          <w:kern w:val="0"/>
        </w:rPr>
        <w:t xml:space="preserve">прописью)   </w:t>
      </w:r>
      <w:proofErr w:type="gramEnd"/>
      <w:r w:rsidRPr="007C506A">
        <w:rPr>
          <w:i/>
          <w:iCs/>
          <w:kern w:val="0"/>
        </w:rPr>
        <w:t xml:space="preserve">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proofErr w:type="gramStart"/>
      <w:r w:rsidRPr="007C506A">
        <w:rPr>
          <w:kern w:val="0"/>
          <w:sz w:val="20"/>
          <w:szCs w:val="20"/>
        </w:rPr>
        <w:t>●]</w:t>
      </w:r>
      <w:r w:rsidRPr="007C506A">
        <w:rPr>
          <w:sz w:val="20"/>
          <w:szCs w:val="20"/>
        </w:rPr>
        <w:t>г.</w:t>
      </w:r>
      <w:proofErr w:type="gramEnd"/>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w:t>
      </w:r>
      <w:proofErr w:type="gramStart"/>
      <w:r w:rsidRPr="007C506A">
        <w:rPr>
          <w:sz w:val="20"/>
          <w:szCs w:val="20"/>
        </w:rPr>
        <w:t>_»_</w:t>
      </w:r>
      <w:proofErr w:type="gramEnd"/>
      <w:r w:rsidRPr="007C506A">
        <w:rPr>
          <w:sz w:val="20"/>
          <w:szCs w:val="20"/>
        </w:rPr>
        <w:t>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w:t>
      </w:r>
      <w:proofErr w:type="gramStart"/>
      <w:r w:rsidRPr="007C506A">
        <w:rPr>
          <w:sz w:val="20"/>
          <w:szCs w:val="20"/>
        </w:rPr>
        <w:t>●]  (</w:t>
      </w:r>
      <w:proofErr w:type="gramEnd"/>
      <w:r w:rsidRPr="007C506A">
        <w:rPr>
          <w:sz w:val="20"/>
          <w:szCs w:val="20"/>
        </w:rPr>
        <w:t>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Разница между Проектной общей площадью Объекта по Договору равной [●] </w:t>
      </w:r>
      <w:proofErr w:type="gramStart"/>
      <w:r w:rsidRPr="007C506A">
        <w:rPr>
          <w:sz w:val="20"/>
          <w:szCs w:val="20"/>
        </w:rPr>
        <w:t>кв.м</w:t>
      </w:r>
      <w:proofErr w:type="gramEnd"/>
      <w:r w:rsidRPr="007C506A">
        <w:rPr>
          <w:sz w:val="20"/>
          <w:szCs w:val="20"/>
        </w:rPr>
        <w:t xml:space="preserve">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proofErr w:type="gramStart"/>
      <w:r w:rsidRPr="007C506A">
        <w:rPr>
          <w:kern w:val="0"/>
          <w:sz w:val="20"/>
          <w:szCs w:val="20"/>
        </w:rPr>
        <w:t>●]</w:t>
      </w:r>
      <w:r w:rsidRPr="007C506A">
        <w:rPr>
          <w:sz w:val="20"/>
          <w:szCs w:val="20"/>
        </w:rPr>
        <w:t>г.</w:t>
      </w:r>
      <w:proofErr w:type="gramEnd"/>
      <w:r w:rsidRPr="007C506A">
        <w:rPr>
          <w:sz w:val="20"/>
          <w:szCs w:val="20"/>
        </w:rPr>
        <w:t xml:space="preserve"> за [●] </w:t>
      </w:r>
      <w:proofErr w:type="spellStart"/>
      <w:r w:rsidRPr="007C506A">
        <w:rPr>
          <w:sz w:val="20"/>
          <w:szCs w:val="20"/>
        </w:rPr>
        <w:t>усл</w:t>
      </w:r>
      <w:proofErr w:type="spellEnd"/>
      <w:r w:rsidRPr="007C506A">
        <w:rPr>
          <w:sz w:val="20"/>
          <w:szCs w:val="20"/>
        </w:rPr>
        <w:t>.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Одновременно при подписании Сторонами настоящего Акта, Застройщик передал Участнику </w:t>
      </w:r>
      <w:proofErr w:type="spellStart"/>
      <w:r w:rsidRPr="007C506A">
        <w:rPr>
          <w:sz w:val="20"/>
          <w:szCs w:val="20"/>
        </w:rPr>
        <w:t>выкопировку</w:t>
      </w:r>
      <w:proofErr w:type="spellEnd"/>
      <w:r w:rsidRPr="007C506A">
        <w:rPr>
          <w:sz w:val="20"/>
          <w:szCs w:val="20"/>
        </w:rPr>
        <w:t xml:space="preserve">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proofErr w:type="gramStart"/>
      <w:r w:rsidRPr="007C506A">
        <w:rPr>
          <w:kern w:val="0"/>
          <w:sz w:val="20"/>
          <w:szCs w:val="20"/>
        </w:rPr>
        <w:t>●]</w:t>
      </w:r>
      <w:r w:rsidRPr="007C506A">
        <w:rPr>
          <w:sz w:val="20"/>
          <w:szCs w:val="20"/>
        </w:rPr>
        <w:t>г.</w:t>
      </w:r>
      <w:proofErr w:type="gramEnd"/>
    </w:p>
    <w:p w14:paraId="41CAB4BD" w14:textId="77777777" w:rsidR="00F4113E" w:rsidRPr="007C506A" w:rsidRDefault="00F4113E" w:rsidP="00F4113E">
      <w:pPr>
        <w:pStyle w:val="Standard"/>
        <w:shd w:val="clear" w:color="auto" w:fill="FFFFFF"/>
        <w:rPr>
          <w:sz w:val="20"/>
          <w:szCs w:val="20"/>
        </w:rPr>
      </w:pPr>
      <w:r w:rsidRPr="007C506A">
        <w:rPr>
          <w:sz w:val="20"/>
          <w:szCs w:val="20"/>
        </w:rPr>
        <w:t xml:space="preserve">г. Санкт-Петербург                                                                        </w:t>
      </w:r>
      <w:proofErr w:type="gramStart"/>
      <w:r w:rsidRPr="007C506A">
        <w:rPr>
          <w:sz w:val="20"/>
          <w:szCs w:val="20"/>
        </w:rPr>
        <w:t xml:space="preserve">   «</w:t>
      </w:r>
      <w:proofErr w:type="gramEnd"/>
      <w:r w:rsidRPr="007C506A">
        <w:rPr>
          <w:sz w:val="20"/>
          <w:szCs w:val="20"/>
        </w:rPr>
        <w:t>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Разница между Проектной общей площадью Объекта по Договору равной [●] </w:t>
      </w:r>
      <w:proofErr w:type="gramStart"/>
      <w:r w:rsidRPr="007C506A">
        <w:rPr>
          <w:sz w:val="20"/>
          <w:szCs w:val="20"/>
        </w:rPr>
        <w:t>кв.м</w:t>
      </w:r>
      <w:proofErr w:type="gramEnd"/>
      <w:r w:rsidRPr="007C506A">
        <w:rPr>
          <w:sz w:val="20"/>
          <w:szCs w:val="20"/>
        </w:rPr>
        <w:t xml:space="preserve">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proofErr w:type="gramStart"/>
      <w:r w:rsidRPr="007C506A">
        <w:rPr>
          <w:sz w:val="20"/>
          <w:szCs w:val="20"/>
        </w:rPr>
        <w:t>●]</w:t>
      </w:r>
      <w:r w:rsidRPr="007C506A" w:rsidDel="00093A2E">
        <w:rPr>
          <w:sz w:val="20"/>
          <w:szCs w:val="20"/>
        </w:rPr>
        <w:t xml:space="preserve"> </w:t>
      </w:r>
      <w:r w:rsidRPr="007C506A">
        <w:rPr>
          <w:sz w:val="20"/>
          <w:szCs w:val="20"/>
        </w:rPr>
        <w:t xml:space="preserve"> </w:t>
      </w:r>
      <w:proofErr w:type="spellStart"/>
      <w:r w:rsidRPr="007C506A">
        <w:rPr>
          <w:sz w:val="20"/>
          <w:szCs w:val="20"/>
        </w:rPr>
        <w:t>усл</w:t>
      </w:r>
      <w:proofErr w:type="spellEnd"/>
      <w:proofErr w:type="gramEnd"/>
      <w:r w:rsidRPr="007C506A">
        <w:rPr>
          <w:sz w:val="20"/>
          <w:szCs w:val="20"/>
        </w:rPr>
        <w:t>.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Одновременно при подписании Сторонами настоящего Акта, Застройщик передал Участнику </w:t>
      </w:r>
      <w:proofErr w:type="spellStart"/>
      <w:r w:rsidRPr="007C506A">
        <w:rPr>
          <w:sz w:val="20"/>
          <w:szCs w:val="20"/>
        </w:rPr>
        <w:t>выкопировку</w:t>
      </w:r>
      <w:proofErr w:type="spellEnd"/>
      <w:r w:rsidRPr="007C506A">
        <w:rPr>
          <w:sz w:val="20"/>
          <w:szCs w:val="20"/>
        </w:rPr>
        <w:t xml:space="preserve">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6549C435" w:rsidR="00CE4B71" w:rsidRDefault="00CE4B71">
    <w:pPr>
      <w:pStyle w:val="a9"/>
      <w:jc w:val="right"/>
    </w:pPr>
    <w:r>
      <w:fldChar w:fldCharType="begin"/>
    </w:r>
    <w:r>
      <w:instrText xml:space="preserve"> PAGE </w:instrText>
    </w:r>
    <w:r>
      <w:fldChar w:fldCharType="separate"/>
    </w:r>
    <w:r w:rsidR="006E251C">
      <w:rPr>
        <w:noProof/>
      </w:rPr>
      <w:t>14</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4929B4"/>
    <w:rsid w:val="004C4546"/>
    <w:rsid w:val="00576190"/>
    <w:rsid w:val="005C5414"/>
    <w:rsid w:val="005C7553"/>
    <w:rsid w:val="006E251C"/>
    <w:rsid w:val="006E5CAD"/>
    <w:rsid w:val="006E630C"/>
    <w:rsid w:val="0079119D"/>
    <w:rsid w:val="007C506A"/>
    <w:rsid w:val="00861C36"/>
    <w:rsid w:val="0094120A"/>
    <w:rsid w:val="00A56513"/>
    <w:rsid w:val="00B56418"/>
    <w:rsid w:val="00C41377"/>
    <w:rsid w:val="00C63810"/>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8528</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3</cp:revision>
  <cp:lastPrinted>2023-03-27T10:09:00Z</cp:lastPrinted>
  <dcterms:created xsi:type="dcterms:W3CDTF">2023-03-27T10:11:00Z</dcterms:created>
  <dcterms:modified xsi:type="dcterms:W3CDTF">2023-03-27T10:12:00Z</dcterms:modified>
</cp:coreProperties>
</file>