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ДОГОВОР № КЛ-ПК-{{f_bs}}/{{f_num}}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99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5003"/>
        <w:tblGridChange w:id="0">
          <w:tblGrid>
            <w:gridCol w:w="4993"/>
            <w:gridCol w:w="5003"/>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Большой Камень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«ДомСМУ88»,</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Хохриной Ксении Александровны, действующей на основании доверенности 16 АА 7667596 от 28.02.2023 г., удостоверенной Габдрахмановой Гульназ Фаимовной, временно исполняющим обязанности нотариуса Гришина Кирилла Геннадьевича Казанского нотариального округа Республики Татарстан, зарегистрированной 28.02.2023 г. в реестре за № 16/196-н/16-2023-3-242,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2 647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расположенный по адресу: Приморский край, г. Большой Камень, ул. Академика Курчатова, д. 21, кадастровый № </w:t>
      </w:r>
      <w:r w:rsidDel="00000000" w:rsidR="00000000" w:rsidRPr="00000000">
        <w:rPr>
          <w:rFonts w:ascii="Times New Roman" w:cs="Times New Roman" w:eastAsia="Times New Roman" w:hAnsi="Times New Roman"/>
          <w:b w:val="1"/>
          <w:sz w:val="24"/>
          <w:szCs w:val="24"/>
          <w:rtl w:val="0"/>
        </w:rPr>
        <w:t xml:space="preserve">25:36:010201:16995</w:t>
      </w:r>
      <w:r w:rsidDel="00000000" w:rsidR="00000000" w:rsidRPr="00000000">
        <w:rPr>
          <w:rFonts w:ascii="Times New Roman" w:cs="Times New Roman" w:eastAsia="Times New Roman" w:hAnsi="Times New Roman"/>
          <w:sz w:val="24"/>
          <w:szCs w:val="24"/>
          <w:rtl w:val="0"/>
        </w:rPr>
        <w:t xml:space="preserve">, принадлежащий Застройщику на основании договора аренды земельного участка № 230/22 от «21» декабря 2022 г., что подтверждается записью государственной регистрации № 25:36:010201:16995-25/060/2022-8 от «28» декабря 2022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Банка ВТБ (публичное акционерное общество) по договору ипотеки № ДИ1-ЦН-776014/2023/00032 от «23» марта 2023 г., запись государственной регистрации ипотеки № 25:36:010201:16995-25/060/2023-14 от «28» марта 2023 г. При этом от Банка ВТБ (публичное акционерное общество)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10">
      <w:pPr>
        <w:ind w:firstLine="54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25:36:010201:16995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w:t>
      </w:r>
      <w:r w:rsidDel="00000000" w:rsidR="00000000" w:rsidRPr="00000000">
        <w:rPr>
          <w:rFonts w:ascii="Times New Roman" w:cs="Times New Roman" w:eastAsia="Times New Roman" w:hAnsi="Times New Roman"/>
          <w:b w:val="1"/>
          <w:color w:val="000000"/>
          <w:sz w:val="24"/>
          <w:szCs w:val="24"/>
          <w:rtl w:val="0"/>
        </w:rPr>
        <w:t xml:space="preserve">«Многоквартирный жилой дом, по ул. Академика Курчатова, д.21 в г. Большой Камень, Приморский край»</w:t>
      </w:r>
      <w:r w:rsidDel="00000000" w:rsidR="00000000" w:rsidRPr="00000000">
        <w:rPr>
          <w:rFonts w:ascii="Times New Roman" w:cs="Times New Roman" w:eastAsia="Times New Roman" w:hAnsi="Times New Roman"/>
          <w:color w:val="000000"/>
          <w:sz w:val="24"/>
          <w:szCs w:val="24"/>
          <w:rtl w:val="0"/>
        </w:rPr>
        <w:t xml:space="preserve">, общей площадью 6 059,20 кв.м.,  </w:t>
      </w:r>
      <w:r w:rsidDel="00000000" w:rsidR="00000000" w:rsidRPr="00000000">
        <w:rPr>
          <w:rFonts w:ascii="Times New Roman" w:cs="Times New Roman" w:eastAsia="Times New Roman" w:hAnsi="Times New Roman"/>
          <w:color w:val="000000"/>
          <w:sz w:val="24"/>
          <w:szCs w:val="24"/>
          <w:u w:val="single"/>
          <w:rtl w:val="0"/>
        </w:rPr>
        <w:t xml:space="preserve">количество этажей</w:t>
      </w:r>
      <w:r w:rsidDel="00000000" w:rsidR="00000000" w:rsidRPr="00000000">
        <w:rPr>
          <w:rFonts w:ascii="Times New Roman" w:cs="Times New Roman" w:eastAsia="Times New Roman" w:hAnsi="Times New Roman"/>
          <w:color w:val="000000"/>
          <w:sz w:val="24"/>
          <w:szCs w:val="24"/>
          <w:rtl w:val="0"/>
        </w:rPr>
        <w:t xml:space="preserve">: 11 этажей, в том числе подземных этажей – 1. Жилой дом представляет собой прямоугольное в плане здание с выступающими лоджиями, с размерами в осях 40,70х15,40 м. Высота дома - 26,90м, архитектурная высота корпуса от чистого пола первого этажа до верха парапета завершения кровли - 36,15 м. Конструкции здания представляют собой следующее: монолитный железобетонный каркас с монолитными железобетонными перекрытиями и покрытием. Необходимая прочность, устойчивость, пространственная неизменяемость здания обеспечивается совместной работой вертикальных стен лестничных клеток (ядра жесткости) и жесткими узлами сопряжения колонн и стен с горизонтальными дисками перекрытий и покрытия. Колонны - монолитные ж/б размерами 300х600мм, из бетона кл. В25. Пилоны - монолитные ж/б толщиной 300мм из бетона кл. В25.</w:t>
      </w:r>
    </w:p>
    <w:p w:rsidR="00000000" w:rsidDel="00000000" w:rsidP="00000000" w:rsidRDefault="00000000" w:rsidRPr="00000000" w14:paraId="0000001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Перекрытие и покрытие: монолитная ж/б плита из бетона кл. В25 толщиной 180мм. Конструктивное решение опирания плиты на колонны и пилоны – без капителей,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 Монолитные перекрытия и покрытие имеют дополнительное продольное и поперечное армирование.</w:t>
      </w:r>
    </w:p>
    <w:p w:rsidR="00000000" w:rsidDel="00000000" w:rsidP="00000000" w:rsidRDefault="00000000" w:rsidRPr="00000000" w14:paraId="00000012">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Наружные ненесущие стены - многослойные, по системе навесного вентилируемого фасада (НВФ). Внутренний слой - толщиной t=300мм из газобетонных блоков, на цементно-песчаном растворе с утеплением из минераловатных плит на базальтовой основе t=120мм (в 2 слоя) с отделкой керамогранитной плиткой по системе НВФ. Внутренние стены t=250мм из керамического кирпича на цементно-песчаном растворе, t=300 мм из газобетонных блоков на цементно-песчаном растворе. Стены лифтово-лестничного узла монолитные ж/б из бетона кл. В25 толщиной 200 мм. Внутренние перегородки t=100мм из газобетонных блоков на цементно-песчаном растворе. Перегородки (t=120 мм) и участки стен (t=250 мм) сан. узлов и ванных комнат из керамического кирпича на цементно-песчаном растворе. Перемычки - сборные железобетонные, металлические. Стены подвального этажа из монолитного железобетона толщиной 200мм, снаружи утеплённые экструдированным пенополистиролом толщиной 80 мм и оштукатуренные по сетке. Перегородки и стены - из керамического кирпича на цементно-песчаном растворе, толщиной 120 мм и 250 мм.</w:t>
      </w:r>
    </w:p>
    <w:p w:rsidR="00000000" w:rsidDel="00000000" w:rsidP="00000000" w:rsidRDefault="00000000" w:rsidRPr="00000000" w14:paraId="00000013">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Класс сейсмостойкости</w:t>
      </w:r>
      <w:r w:rsidDel="00000000" w:rsidR="00000000" w:rsidRPr="00000000">
        <w:rPr>
          <w:rFonts w:ascii="Times New Roman" w:cs="Times New Roman" w:eastAsia="Times New Roman" w:hAnsi="Times New Roman"/>
          <w:color w:val="000000"/>
          <w:sz w:val="24"/>
          <w:szCs w:val="24"/>
          <w:rtl w:val="0"/>
        </w:rPr>
        <w:t xml:space="preserve"> – 6 класс, </w:t>
      </w:r>
      <w:r w:rsidDel="00000000" w:rsidR="00000000" w:rsidRPr="00000000">
        <w:rPr>
          <w:rFonts w:ascii="Times New Roman" w:cs="Times New Roman" w:eastAsia="Times New Roman" w:hAnsi="Times New Roman"/>
          <w:color w:val="000000"/>
          <w:sz w:val="24"/>
          <w:szCs w:val="24"/>
          <w:u w:val="single"/>
          <w:rtl w:val="0"/>
        </w:rPr>
        <w:t xml:space="preserve">класс энергоэффективности</w:t>
      </w:r>
      <w:r w:rsidDel="00000000" w:rsidR="00000000" w:rsidRPr="00000000">
        <w:rPr>
          <w:rFonts w:ascii="Times New Roman" w:cs="Times New Roman" w:eastAsia="Times New Roman" w:hAnsi="Times New Roman"/>
          <w:color w:val="000000"/>
          <w:sz w:val="24"/>
          <w:szCs w:val="24"/>
          <w:rtl w:val="0"/>
        </w:rPr>
        <w:t xml:space="preserve"> – В, </w:t>
      </w:r>
      <w:r w:rsidDel="00000000" w:rsidR="00000000" w:rsidRPr="00000000">
        <w:rPr>
          <w:rFonts w:ascii="Times New Roman" w:cs="Times New Roman" w:eastAsia="Times New Roman" w:hAnsi="Times New Roman"/>
          <w:color w:val="000000"/>
          <w:sz w:val="24"/>
          <w:szCs w:val="24"/>
          <w:u w:val="single"/>
          <w:rtl w:val="0"/>
        </w:rPr>
        <w:t xml:space="preserve">расположенный </w:t>
      </w:r>
      <w:r w:rsidDel="00000000" w:rsidR="00000000" w:rsidRPr="00000000">
        <w:rPr>
          <w:rFonts w:ascii="Times New Roman" w:cs="Times New Roman" w:eastAsia="Times New Roman" w:hAnsi="Times New Roman"/>
          <w:sz w:val="24"/>
          <w:szCs w:val="24"/>
          <w:u w:val="single"/>
          <w:rtl w:val="0"/>
        </w:rPr>
        <w:t xml:space="preserve">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Приморский край, г. Большой Камень, ул. Академика Курчатова, д. 21,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Администрацией городского округа Большой Камень в лице управления архитектуры и градостроительства разрешения на строительство № 25-303-017-2020 от «03» ноября 2020 г.</w:t>
      </w:r>
    </w:p>
    <w:p w:rsidR="00000000" w:rsidDel="00000000" w:rsidP="00000000" w:rsidRDefault="00000000" w:rsidRPr="00000000" w14:paraId="00000014">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9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1565"/>
        <w:gridCol w:w="2471"/>
        <w:gridCol w:w="2491"/>
        <w:gridCol w:w="1406"/>
        <w:tblGridChange w:id="0">
          <w:tblGrid>
            <w:gridCol w:w="1701"/>
            <w:gridCol w:w="1565"/>
            <w:gridCol w:w="2471"/>
            <w:gridCol w:w="2491"/>
            <w:gridCol w:w="1406"/>
          </w:tblGrid>
        </w:tblGridChange>
      </w:tblGrid>
      <w:tr>
        <w:trPr>
          <w:cantSplit w:val="0"/>
          <w:trHeight w:val="881" w:hRule="atLeast"/>
          <w:tblHeader w:val="0"/>
        </w:trPr>
        <w:tc>
          <w:tcPr/>
          <w:p w:rsidR="00000000" w:rsidDel="00000000" w:rsidP="00000000" w:rsidRDefault="00000000" w:rsidRPr="00000000" w14:paraId="00000017">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подъезда (блок-секции)</w:t>
            </w:r>
          </w:p>
        </w:tc>
        <w:tc>
          <w:tcPr/>
          <w:p w:rsidR="00000000" w:rsidDel="00000000" w:rsidP="00000000" w:rsidRDefault="00000000" w:rsidRPr="00000000" w14:paraId="00000018">
            <w:pPr>
              <w:ind w:right="34" w:firstLine="2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Условный №</w:t>
            </w:r>
          </w:p>
        </w:tc>
        <w:tc>
          <w:tcPr/>
          <w:p w:rsidR="00000000" w:rsidDel="00000000" w:rsidP="00000000" w:rsidRDefault="00000000" w:rsidRPr="00000000" w14:paraId="00000019">
            <w:pPr>
              <w:ind w:left="-90" w:right="-108" w:firstLine="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Тип / назначение помещения</w:t>
            </w:r>
            <w:r w:rsidDel="00000000" w:rsidR="00000000" w:rsidRPr="00000000">
              <w:rPr>
                <w:rtl w:val="0"/>
              </w:rPr>
            </w:r>
          </w:p>
        </w:tc>
        <w:tc>
          <w:tcPr/>
          <w:p w:rsidR="00000000" w:rsidDel="00000000" w:rsidP="00000000" w:rsidRDefault="00000000" w:rsidRPr="00000000" w14:paraId="0000001A">
            <w:pPr>
              <w:ind w:left="3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 кв.м.</w:t>
            </w:r>
            <w:r w:rsidDel="00000000" w:rsidR="00000000" w:rsidRPr="00000000">
              <w:rPr>
                <w:rtl w:val="0"/>
              </w:rPr>
            </w:r>
          </w:p>
          <w:p w:rsidR="00000000" w:rsidDel="00000000" w:rsidP="00000000" w:rsidRDefault="00000000" w:rsidRPr="00000000" w14:paraId="0000001B">
            <w:pPr>
              <w:ind w:left="34" w:right="-10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C">
            <w:pPr>
              <w:ind w:right="-108" w:firstLine="3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Этаж</w:t>
            </w: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w:t>
            </w:r>
          </w:p>
        </w:tc>
        <w:tc>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Нежилое помещение (кладовая)</w:t>
            </w: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22">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2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«02» февраля 2023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на сайте наш.дом.рф.</w:t>
      </w:r>
    </w:p>
    <w:p w:rsidR="00000000" w:rsidDel="00000000" w:rsidP="00000000" w:rsidRDefault="00000000" w:rsidRPr="00000000" w14:paraId="0000002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2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2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2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2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2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2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2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30">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3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3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3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«30» сентября 202</w:t>
      </w:r>
      <w:r w:rsidDel="00000000" w:rsidR="00000000" w:rsidRPr="00000000">
        <w:rPr>
          <w:rFonts w:ascii="Times New Roman" w:cs="Times New Roman" w:eastAsia="Times New Roman" w:hAnsi="Times New Roman"/>
          <w:b w:val="1"/>
          <w:sz w:val="24"/>
          <w:szCs w:val="24"/>
          <w:rtl w:val="0"/>
        </w:rPr>
        <w:t xml:space="preserve">4 г.</w:t>
      </w:r>
      <w:r w:rsidDel="00000000" w:rsidR="00000000" w:rsidRPr="00000000">
        <w:rPr>
          <w:rtl w:val="0"/>
        </w:rPr>
      </w:r>
    </w:p>
    <w:p w:rsidR="00000000" w:rsidDel="00000000" w:rsidP="00000000" w:rsidRDefault="00000000" w:rsidRPr="00000000" w14:paraId="0000003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39">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1"/>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3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3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3D">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3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4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Указанная цена Объекта подлежит изменению в соответствии с п. 4.8 настоящего договора.</w:t>
      </w:r>
    </w:p>
    <w:p w:rsidR="00000000" w:rsidDel="00000000" w:rsidP="00000000" w:rsidRDefault="00000000" w:rsidRPr="00000000" w14:paraId="00000042">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43">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Приморскому краю</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Банке ВТБ (ПАО)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Банком ВТБ (ПАО) (эскроу-агент).</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Уполномоченный банк, эскроу-агент: Банк ВТБ (публичное акционерное общество), Банк ВТБ (ПАО), генеральная лицензия Банка России на осуществление банковских операций №1000, местонахождение: 191144, г. Санкт-Петербург, Дегтярный переулок, д. 11, литер А; почтовый адрес: 109147, г. Москва, ул. Воронцовская, д. 43, стр. 1, кор/счет в ГУ Банка России по Центральному федеральному округу № 30101810700000000187, ИНН 7702070139, БИК 044525187, адрес электронной почты Schet_escrow@vtb.ru, телефон: 8-800-100-24-24.</w:t>
      </w:r>
    </w:p>
    <w:p w:rsidR="00000000" w:rsidDel="00000000" w:rsidP="00000000" w:rsidRDefault="00000000" w:rsidRPr="00000000" w14:paraId="0000004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Общество с ограниченной ответственностью Специализированный застройщик «ДомСМУ88» (ООО СЗ «ДОМСМУ88»)</w:t>
      </w:r>
    </w:p>
    <w:p w:rsidR="00000000" w:rsidDel="00000000" w:rsidP="00000000" w:rsidRDefault="00000000" w:rsidRPr="00000000" w14:paraId="0000004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4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1151690098372, ИНН 1657203986, КПП 165501001.</w:t>
      </w:r>
    </w:p>
    <w:p w:rsidR="00000000" w:rsidDel="00000000" w:rsidP="00000000" w:rsidRDefault="00000000" w:rsidRPr="00000000" w14:paraId="00000049">
      <w:pPr>
        <w:ind w:firstLine="567"/>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4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Застройщик и Участник долевого строительства адресуют Банку ВТБ (ПАО) предложение (оферту) заключить договор об открытии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и настоящего договора путем открытия Банком ВТБ (ПАО) счета эскроу в порядке, предусмотренном указанными Правилами. Заключая настоящий договор, Застройщик и Участник долевого строительства выражают свое намерение считать себя заключившими договор об открытии счета эскроу на условиях настоящего договора и указанных Правил в случае открытия эскроу-агентом счета в порядке, предусмотренном указанными Правилами.</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Застройщик поручает Участнику долевого строительства передать в Банк ВТБ (ПАО) от имени Застройщика настоящий договор как документ, содержащий оферту Застройщика о заключении договора об открытии счета эскроу.</w:t>
      </w:r>
    </w:p>
    <w:p w:rsidR="00000000" w:rsidDel="00000000" w:rsidP="00000000" w:rsidRDefault="00000000" w:rsidRPr="00000000" w14:paraId="0000004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вносятся на счет эскроу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p>
    <w:p w:rsidR="00000000" w:rsidDel="00000000" w:rsidP="00000000" w:rsidRDefault="00000000" w:rsidRPr="00000000" w14:paraId="0000004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4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5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5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5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4 таблицы, приведенной в п. 1.1.3 настоящего договора.</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000000" w:rsidDel="00000000" w:rsidP="00000000" w:rsidRDefault="00000000" w:rsidRPr="00000000" w14:paraId="00000057">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000000" w:rsidDel="00000000" w:rsidP="00000000" w:rsidRDefault="00000000" w:rsidRPr="00000000" w14:paraId="00000058">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000000" w:rsidDel="00000000" w:rsidP="00000000" w:rsidRDefault="00000000" w:rsidRPr="00000000" w14:paraId="00000059">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5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5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5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5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sz w:val="24"/>
          <w:szCs w:val="24"/>
          <w:rtl w:val="0"/>
        </w:rPr>
        <w:t xml:space="preserve">«30» января 2025 г. </w:t>
      </w:r>
      <w:r w:rsidDel="00000000" w:rsidR="00000000" w:rsidRPr="00000000">
        <w:rPr>
          <w:rFonts w:ascii="Times New Roman" w:cs="Times New Roman" w:eastAsia="Times New Roman" w:hAnsi="Times New Roman"/>
          <w:sz w:val="24"/>
          <w:szCs w:val="24"/>
          <w:rtl w:val="0"/>
        </w:rPr>
        <w:t xml:space="preserve">в степени готовности, включающей выполнение следующих видов строительных и отделочных работ в </w:t>
      </w:r>
      <w:r w:rsidDel="00000000" w:rsidR="00000000" w:rsidRPr="00000000">
        <w:rPr>
          <w:rFonts w:ascii="Times New Roman" w:cs="Times New Roman" w:eastAsia="Times New Roman" w:hAnsi="Times New Roman"/>
          <w:color w:val="000000"/>
          <w:sz w:val="24"/>
          <w:szCs w:val="24"/>
          <w:rtl w:val="0"/>
        </w:rPr>
        <w:t xml:space="preserve">нежилых помещениях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возведение перегородок на всю высоту этажа из кирпича, без отделки; </w:t>
      </w:r>
    </w:p>
    <w:p w:rsidR="00000000" w:rsidDel="00000000" w:rsidP="00000000" w:rsidRDefault="00000000" w:rsidRPr="00000000" w14:paraId="00000060">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полы: железобетонная фундаментная плита с обеспыливанием поверхности; </w:t>
      </w:r>
    </w:p>
    <w:p w:rsidR="00000000" w:rsidDel="00000000" w:rsidP="00000000" w:rsidRDefault="00000000" w:rsidRPr="00000000" w14:paraId="0000006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-монтаж противопожарных дверей на входе в кладовые; </w:t>
      </w:r>
    </w:p>
    <w:p w:rsidR="00000000" w:rsidDel="00000000" w:rsidP="00000000" w:rsidRDefault="00000000" w:rsidRPr="00000000" w14:paraId="00000062">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-монтаж освещения в кладовых;</w:t>
      </w:r>
    </w:p>
    <w:p w:rsidR="00000000" w:rsidDel="00000000" w:rsidP="00000000" w:rsidRDefault="00000000" w:rsidRPr="00000000" w14:paraId="00000063">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нежилых помещениях финишная отделка помещений и разводка инженерных сетей,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rsidR="00000000" w:rsidDel="00000000" w:rsidP="00000000" w:rsidRDefault="00000000" w:rsidRPr="00000000" w14:paraId="00000064">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06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передаче Объекта Застройщик передает Участнику долевого строительства инструкцию по эксплуатации Объекта.</w:t>
      </w:r>
    </w:p>
    <w:p w:rsidR="00000000" w:rsidDel="00000000" w:rsidP="00000000" w:rsidRDefault="00000000" w:rsidRPr="00000000" w14:paraId="0000006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Приморскому краю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6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6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6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6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6B">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6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6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6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7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7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Приморскому краю;</w:t>
      </w:r>
    </w:p>
    <w:p w:rsidR="00000000" w:rsidDel="00000000" w:rsidP="00000000" w:rsidRDefault="00000000" w:rsidRPr="00000000" w14:paraId="0000007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Приморскому краю.</w:t>
      </w:r>
    </w:p>
    <w:p w:rsidR="00000000" w:rsidDel="00000000" w:rsidP="00000000" w:rsidRDefault="00000000" w:rsidRPr="00000000" w14:paraId="0000007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7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устройство проемов в несущих стенах,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7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7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7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7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7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Приморскому краю. </w:t>
      </w:r>
    </w:p>
    <w:p w:rsidR="00000000" w:rsidDel="00000000" w:rsidP="00000000" w:rsidRDefault="00000000" w:rsidRPr="00000000" w14:paraId="0000007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территории городского округа Большой Камень, утвержденных Решением Думы городского округа ЗАТО Большой Камень «О Правилах благоустройства территории городского округа Большой Камень» № 595 от «27» января 2011 г.</w:t>
      </w:r>
    </w:p>
    <w:p w:rsidR="00000000" w:rsidDel="00000000" w:rsidP="00000000" w:rsidRDefault="00000000" w:rsidRPr="00000000" w14:paraId="0000007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7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7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7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7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8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8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8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color w:val="1a1a1a"/>
          <w:sz w:val="24"/>
          <w:szCs w:val="24"/>
          <w:rtl w:val="0"/>
        </w:rPr>
        <w:t xml:space="preserve">изменение архитектурного решения фасада и несущих элементов конструкции Дома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8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8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86">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8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8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rsidR="00000000" w:rsidDel="00000000" w:rsidP="00000000" w:rsidRDefault="00000000" w:rsidRPr="00000000" w14:paraId="00000089">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8B">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8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8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8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8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9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p>
    <w:p w:rsidR="00000000" w:rsidDel="00000000" w:rsidP="00000000" w:rsidRDefault="00000000" w:rsidRPr="00000000" w14:paraId="0000009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9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9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9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9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000000" w:rsidDel="00000000" w:rsidP="00000000" w:rsidRDefault="00000000" w:rsidRPr="00000000" w14:paraId="0000009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9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rsidR="00000000" w:rsidDel="00000000" w:rsidP="00000000" w:rsidRDefault="00000000" w:rsidRPr="00000000" w14:paraId="00000098">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9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9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9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9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9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A0">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A3">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A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A6">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A7">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В соответствии с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000000" w:rsidDel="00000000" w:rsidP="00000000" w:rsidRDefault="00000000" w:rsidRPr="00000000" w14:paraId="000000A8">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AA">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AB">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AC">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A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A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B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B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B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B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B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B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3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B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B7">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B9">
      <w:pPr>
        <w:widowControl w:val="1"/>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BA">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0BB">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BC">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1151690098372, ИНН 1657203986, КПП 165501001,</w:t>
      </w:r>
    </w:p>
    <w:p w:rsidR="00000000" w:rsidDel="00000000" w:rsidP="00000000" w:rsidRDefault="00000000" w:rsidRPr="00000000" w14:paraId="000000BD">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40702810825240000546в Филиале «Центральный» Банка ВТБ (ПАО) в г. Москве,</w:t>
      </w:r>
    </w:p>
    <w:p w:rsidR="00000000" w:rsidDel="00000000" w:rsidP="00000000" w:rsidRDefault="00000000" w:rsidRPr="00000000" w14:paraId="000000BE">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30101810145250000411, БИК 044525411.</w:t>
      </w:r>
    </w:p>
    <w:p w:rsidR="00000000" w:rsidDel="00000000" w:rsidP="00000000" w:rsidRDefault="00000000" w:rsidRPr="00000000" w14:paraId="000000BF">
      <w:pPr>
        <w:widowControl w:val="1"/>
        <w:ind w:left="566"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электронной почты: mail@smu88.ru</w:t>
      </w:r>
    </w:p>
    <w:p w:rsidR="00000000" w:rsidDel="00000000" w:rsidP="00000000" w:rsidRDefault="00000000" w:rsidRPr="00000000" w14:paraId="000000C0">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C2">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C3">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C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C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1"/>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C9">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CA">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0CB">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0CE">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w:t>
            </w:r>
            <w:r w:rsidDel="00000000" w:rsidR="00000000" w:rsidRPr="00000000">
              <w:rPr>
                <w:rtl w:val="0"/>
              </w:rPr>
            </w:r>
          </w:p>
        </w:tc>
        <w:tc>
          <w:tcPr/>
          <w:p w:rsidR="00000000" w:rsidDel="00000000" w:rsidP="00000000" w:rsidRDefault="00000000" w:rsidRPr="00000000" w14:paraId="000000D0">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D1">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D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D5">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D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D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DC">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4">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E5">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E6">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КЛ-ПК-{{f_bs}}/{{f_num}} от «{{num_d}}» {{num_M}} {{num_y}} г.</w:t>
      </w:r>
      <w:r w:rsidDel="00000000" w:rsidR="00000000" w:rsidRPr="00000000">
        <w:rPr>
          <w:rtl w:val="0"/>
        </w:rPr>
      </w:r>
    </w:p>
    <w:p w:rsidR="00000000" w:rsidDel="00000000" w:rsidP="00000000" w:rsidRDefault="00000000" w:rsidRPr="00000000" w14:paraId="000000E7">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0EA">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0EB">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0ED">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0EE">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Подъезд (блок-секция) – {{f_bs}}</w:t>
      </w:r>
    </w:p>
    <w:p w:rsidR="00000000" w:rsidDel="00000000" w:rsidP="00000000" w:rsidRDefault="00000000" w:rsidRPr="00000000" w14:paraId="000000EF">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0F1">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готовности Объекта включает выполнение следующих видов строительных и отделочных работ:</w:t>
      </w:r>
    </w:p>
    <w:p w:rsidR="00000000" w:rsidDel="00000000" w:rsidP="00000000" w:rsidRDefault="00000000" w:rsidRPr="00000000" w14:paraId="000000F4">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возведение перегородок на всю высоту этажа из кирпича, без отделки; </w:t>
      </w:r>
    </w:p>
    <w:p w:rsidR="00000000" w:rsidDel="00000000" w:rsidP="00000000" w:rsidRDefault="00000000" w:rsidRPr="00000000" w14:paraId="000000F5">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полы: железобетонная фундаментная плита с обеспыливанием поверхности; </w:t>
      </w:r>
    </w:p>
    <w:p w:rsidR="00000000" w:rsidDel="00000000" w:rsidP="00000000" w:rsidRDefault="00000000" w:rsidRPr="00000000" w14:paraId="000000F6">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-монтаж противопожарных дверей на входе в кладовые; </w:t>
      </w:r>
    </w:p>
    <w:p w:rsidR="00000000" w:rsidDel="00000000" w:rsidP="00000000" w:rsidRDefault="00000000" w:rsidRPr="00000000" w14:paraId="000000F7">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-монтаж освещения в кладовых;</w:t>
      </w:r>
    </w:p>
    <w:p w:rsidR="00000000" w:rsidDel="00000000" w:rsidP="00000000" w:rsidRDefault="00000000" w:rsidRPr="00000000" w14:paraId="000000F8">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нежилых помещениях финишная отделка помещений и разводка инженерных сетей,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rsidR="00000000" w:rsidDel="00000000" w:rsidP="00000000" w:rsidRDefault="00000000" w:rsidRPr="00000000" w14:paraId="000000F9">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0FA">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0FB">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FC">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0FD">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100">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w:t>
            </w:r>
            <w:r w:rsidDel="00000000" w:rsidR="00000000" w:rsidRPr="00000000">
              <w:rPr>
                <w:rtl w:val="0"/>
              </w:rPr>
            </w:r>
          </w:p>
        </w:tc>
        <w:tc>
          <w:tcPr>
            <w:shd w:fill="auto" w:val="clear"/>
          </w:tcPr>
          <w:p w:rsidR="00000000" w:rsidDel="00000000" w:rsidP="00000000" w:rsidRDefault="00000000" w:rsidRPr="00000000" w14:paraId="0000010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03">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0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0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09">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0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112">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13">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КЛ-ПК-{{f_bs}}/{{f_num}} от «{{num_d}}» {{num_M}} {{num_y}} г.</w:t>
      </w:r>
      <w:r w:rsidDel="00000000" w:rsidR="00000000" w:rsidRPr="00000000">
        <w:rPr>
          <w:rtl w:val="0"/>
        </w:rPr>
      </w:r>
    </w:p>
    <w:p w:rsidR="00000000" w:rsidDel="00000000" w:rsidP="00000000" w:rsidRDefault="00000000" w:rsidRPr="00000000" w14:paraId="00000114">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18">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19">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1C">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20">
            <w:pPr>
              <w:widowControl w:val="1"/>
              <w:tabs>
                <w:tab w:val="left" w:leader="none" w:pos="5850"/>
              </w:tabs>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21">
            <w:pPr>
              <w:widowControl w:val="1"/>
              <w:ind w:left="2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122">
            <w:pPr>
              <w:widowControl w:val="1"/>
              <w:ind w:left="2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widowControl w:val="1"/>
              <w:ind w:left="2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125">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widowControl w:val="1"/>
              <w:ind w:left="2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w:t>
            </w:r>
            <w:r w:rsidDel="00000000" w:rsidR="00000000" w:rsidRPr="00000000">
              <w:rPr>
                <w:rtl w:val="0"/>
              </w:rPr>
            </w:r>
          </w:p>
        </w:tc>
        <w:tc>
          <w:tcPr/>
          <w:p w:rsidR="00000000" w:rsidDel="00000000" w:rsidP="00000000" w:rsidRDefault="00000000" w:rsidRPr="00000000" w14:paraId="00000127">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28">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29">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2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2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0">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31">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32">
            <w:pPr>
              <w:widowControl w:val="1"/>
              <w:tabs>
                <w:tab w:val="left" w:leader="none" w:pos="5850"/>
              </w:tabs>
              <w:ind w:firstLine="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3">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4">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5">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b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uiPriority w:val="9"/>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uiPriority w:val="9"/>
    <w:semiHidden w:val="1"/>
    <w:unhideWhenUsed w:val="1"/>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2"/>
    <w:rsid w:val="004360FA"/>
    <w:tblPr>
      <w:tblStyleRowBandSize w:val="1"/>
      <w:tblStyleColBandSize w:val="1"/>
      <w:tblCellMar>
        <w:left w:w="108.0" w:type="dxa"/>
        <w:right w:w="108.0" w:type="dxa"/>
      </w:tblCellMar>
    </w:tblPr>
  </w:style>
  <w:style w:type="table" w:styleId="a6" w:customStyle="1">
    <w:basedOn w:val="TableNormal2"/>
    <w:rsid w:val="004360FA"/>
    <w:tblPr>
      <w:tblStyleRowBandSize w:val="1"/>
      <w:tblStyleColBandSize w:val="1"/>
      <w:tblCellMar>
        <w:left w:w="108.0" w:type="dxa"/>
        <w:right w:w="108.0" w:type="dxa"/>
      </w:tblCellMar>
    </w:tblPr>
  </w:style>
  <w:style w:type="table" w:styleId="a7" w:customStyle="1">
    <w:basedOn w:val="TableNormal2"/>
    <w:rsid w:val="004360FA"/>
    <w:tblPr>
      <w:tblStyleRowBandSize w:val="1"/>
      <w:tblStyleColBandSize w:val="1"/>
      <w:tblCellMar>
        <w:left w:w="108.0" w:type="dxa"/>
        <w:right w:w="108.0" w:type="dxa"/>
      </w:tblCellMar>
    </w:tblPr>
  </w:style>
  <w:style w:type="table" w:styleId="a8" w:customStyle="1">
    <w:basedOn w:val="TableNormal2"/>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1"/>
    <w:rPr>
      <w:color w:val="000000"/>
    </w:rPr>
    <w:tblPr>
      <w:tblStyleRowBandSize w:val="1"/>
      <w:tblStyleColBandSize w:val="1"/>
      <w:tblCellMar>
        <w:left w:w="115.0" w:type="dxa"/>
        <w:right w:w="115.0" w:type="dxa"/>
      </w:tblCellMar>
    </w:tblPr>
  </w:style>
  <w:style w:type="table" w:styleId="af9" w:customStyle="1">
    <w:basedOn w:val="TableNormal1"/>
    <w:rPr>
      <w:color w:val="000000"/>
    </w:rPr>
    <w:tblPr>
      <w:tblStyleRowBandSize w:val="1"/>
      <w:tblStyleColBandSize w:val="1"/>
      <w:tblCellMar>
        <w:left w:w="115.0" w:type="dxa"/>
        <w:right w:w="115.0" w:type="dxa"/>
      </w:tblCellMar>
    </w:tblPr>
  </w:style>
  <w:style w:type="table" w:styleId="afa" w:customStyle="1">
    <w:basedOn w:val="TableNormal1"/>
    <w:rPr>
      <w:color w:val="000000"/>
    </w:rPr>
    <w:tblPr>
      <w:tblStyleRowBandSize w:val="1"/>
      <w:tblStyleColBandSize w:val="1"/>
      <w:tblCellMar>
        <w:left w:w="115.0" w:type="dxa"/>
        <w:right w:w="115.0" w:type="dxa"/>
      </w:tblCellMar>
    </w:tblPr>
  </w:style>
  <w:style w:type="table" w:styleId="afb" w:customStyle="1">
    <w:basedOn w:val="TableNormal1"/>
    <w:rPr>
      <w:color w:val="000000"/>
    </w:rPr>
    <w:tblPr>
      <w:tblStyleRowBandSize w:val="1"/>
      <w:tblStyleColBandSize w:val="1"/>
      <w:tblCellMar>
        <w:left w:w="115.0" w:type="dxa"/>
        <w:right w:w="115.0" w:type="dxa"/>
      </w:tblCellMar>
    </w:tblPr>
  </w:style>
  <w:style w:type="table" w:styleId="afc" w:customStyle="1">
    <w:basedOn w:val="TableNormal1"/>
    <w:rPr>
      <w:color w:val="000000"/>
    </w:rPr>
    <w:tblPr>
      <w:tblStyleRowBandSize w:val="1"/>
      <w:tblStyleColBandSize w:val="1"/>
      <w:tblCellMar>
        <w:left w:w="115.0" w:type="dxa"/>
        <w:right w:w="115.0" w:type="dxa"/>
      </w:tblCellMar>
    </w:tblPr>
  </w:style>
  <w:style w:type="table" w:styleId="afd" w:customStyle="1">
    <w:basedOn w:val="TableNormal0"/>
    <w:rPr>
      <w:color w:val="000000"/>
    </w:rPr>
    <w:tblPr>
      <w:tblStyleRowBandSize w:val="1"/>
      <w:tblStyleColBandSize w:val="1"/>
      <w:tblCellMar>
        <w:left w:w="115.0" w:type="dxa"/>
        <w:right w:w="115.0" w:type="dxa"/>
      </w:tblCellMar>
    </w:tblPr>
  </w:style>
  <w:style w:type="table" w:styleId="afe" w:customStyle="1">
    <w:basedOn w:val="TableNormal0"/>
    <w:rPr>
      <w:color w:val="000000"/>
    </w:rPr>
    <w:tblPr>
      <w:tblStyleRowBandSize w:val="1"/>
      <w:tblStyleColBandSize w:val="1"/>
      <w:tblCellMar>
        <w:left w:w="115.0" w:type="dxa"/>
        <w:right w:w="115.0" w:type="dxa"/>
      </w:tblCellMar>
    </w:tblPr>
  </w:style>
  <w:style w:type="table" w:styleId="aff" w:customStyle="1">
    <w:basedOn w:val="TableNormal0"/>
    <w:rPr>
      <w:color w:val="000000"/>
    </w:rPr>
    <w:tblPr>
      <w:tblStyleRowBandSize w:val="1"/>
      <w:tblStyleColBandSize w:val="1"/>
      <w:tblCellMar>
        <w:left w:w="115.0" w:type="dxa"/>
        <w:right w:w="115.0" w:type="dxa"/>
      </w:tblCellMar>
    </w:tblPr>
  </w:style>
  <w:style w:type="table" w:styleId="aff0" w:customStyle="1">
    <w:basedOn w:val="TableNormal0"/>
    <w:rPr>
      <w:color w:val="000000"/>
    </w:rPr>
    <w:tblPr>
      <w:tblStyleRowBandSize w:val="1"/>
      <w:tblStyleColBandSize w:val="1"/>
      <w:tblCellMar>
        <w:left w:w="115.0" w:type="dxa"/>
        <w:right w:w="115.0" w:type="dxa"/>
      </w:tblCellMar>
    </w:tblPr>
  </w:style>
  <w:style w:type="table" w:styleId="aff1" w:customStyle="1">
    <w:basedOn w:val="TableNormal0"/>
    <w:rPr>
      <w:color w:val="000000"/>
    </w:rPr>
    <w:tblPr>
      <w:tblStyleRowBandSize w:val="1"/>
      <w:tblStyleColBandSize w:val="1"/>
      <w:tblCellMar>
        <w:left w:w="115.0" w:type="dxa"/>
        <w:right w:w="115.0" w:type="dxa"/>
      </w:tblCellMar>
    </w:tblPr>
  </w:style>
  <w:style w:type="character" w:styleId="aff2">
    <w:name w:val="annotation reference"/>
    <w:basedOn w:val="a0"/>
    <w:uiPriority w:val="99"/>
    <w:semiHidden w:val="1"/>
    <w:unhideWhenUsed w:val="1"/>
    <w:rsid w:val="00375C2B"/>
    <w:rPr>
      <w:sz w:val="16"/>
      <w:szCs w:val="16"/>
    </w:rPr>
  </w:style>
  <w:style w:type="paragraph" w:styleId="aff3">
    <w:name w:val="annotation text"/>
    <w:basedOn w:val="a"/>
    <w:link w:val="aff4"/>
    <w:uiPriority w:val="99"/>
    <w:semiHidden w:val="1"/>
    <w:unhideWhenUsed w:val="1"/>
    <w:rsid w:val="00375C2B"/>
  </w:style>
  <w:style w:type="character" w:styleId="aff4" w:customStyle="1">
    <w:name w:val="Текст примечания Знак"/>
    <w:basedOn w:val="a0"/>
    <w:link w:val="aff3"/>
    <w:uiPriority w:val="99"/>
    <w:semiHidden w:val="1"/>
    <w:rsid w:val="00375C2B"/>
    <w:rPr>
      <w:color w:val="000000"/>
    </w:rPr>
  </w:style>
  <w:style w:type="paragraph" w:styleId="aff5">
    <w:name w:val="annotation subject"/>
    <w:basedOn w:val="aff3"/>
    <w:next w:val="aff3"/>
    <w:link w:val="aff6"/>
    <w:uiPriority w:val="99"/>
    <w:semiHidden w:val="1"/>
    <w:unhideWhenUsed w:val="1"/>
    <w:rsid w:val="00375C2B"/>
    <w:rPr>
      <w:b w:val="1"/>
      <w:bCs w:val="1"/>
    </w:rPr>
  </w:style>
  <w:style w:type="character" w:styleId="aff6" w:customStyle="1">
    <w:name w:val="Тема примечания Знак"/>
    <w:basedOn w:val="aff4"/>
    <w:link w:val="aff5"/>
    <w:uiPriority w:val="99"/>
    <w:semiHidden w:val="1"/>
    <w:rsid w:val="00375C2B"/>
    <w:rPr>
      <w:b w:val="1"/>
      <w:bCs w:val="1"/>
      <w:color w:val="000000"/>
    </w:rPr>
  </w:style>
  <w:style w:type="paragraph" w:styleId="aff7">
    <w:name w:val="Revision"/>
    <w:hidden w:val="1"/>
    <w:uiPriority w:val="99"/>
    <w:semiHidden w:val="1"/>
    <w:rsid w:val="005660B4"/>
    <w:pPr>
      <w:widowControl w:val="1"/>
    </w:pPr>
    <w:rPr>
      <w:color w:val="000000"/>
    </w:rPr>
  </w:style>
  <w:style w:type="paragraph" w:styleId="aff8">
    <w:name w:val="List Paragraph"/>
    <w:basedOn w:val="a"/>
    <w:uiPriority w:val="34"/>
    <w:qFormat w:val="1"/>
    <w:rsid w:val="00C9073D"/>
    <w:pPr>
      <w:ind w:left="720"/>
      <w:contextualSpacing w:val="1"/>
    </w:pPr>
  </w:style>
  <w:style w:type="paragraph" w:styleId="aff9">
    <w:name w:val="Normal (Web)"/>
    <w:basedOn w:val="a"/>
    <w:uiPriority w:val="99"/>
    <w:unhideWhenUsed w:val="1"/>
    <w:rsid w:val="0074638B"/>
    <w:pPr>
      <w:widowControl w:val="1"/>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KXz6mOAAyR/QT3YwZryXHrs70A==">CgMxLjAyCWguMzBqMHpsbDgAciExUmc4eWZRQ1VzN2Q3cEJrdFNJaURjUE9SNFBpem9fdU8=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2022-11-29T15:55:00Z</dcterms:created>
  <dc:creator>Ваш Юрист</dc:creator>
</cp:coreProperties>
</file>