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ДОГОВОР № КП-ПК-{{f_bs}}/{{f_num}}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99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5003"/>
        <w:tblGridChange w:id="0">
          <w:tblGrid>
            <w:gridCol w:w="4993"/>
            <w:gridCol w:w="5003"/>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Большой Камень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«ДомСМУ88»,</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Хохриной Ксении Александровны, действующей на основании доверенности 16 АА 7667596 от 28.02.2023 г., удостоверенной Габдрахмановой Гульназ Фаимовной, временно исполняющим обязанности нотариуса Гришина Кирилла Геннадьевича Казанского нотариального округа Республики Татарстан, зарегистрированной 28.02.2023 г. в реестре за № 16/196-н/16-2023-3-242,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2 647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кв.м., расположенный по адресу: Приморский край, г. Большой Камень, ул. Академика Курчатова, д. 21, кадастровый № </w:t>
      </w:r>
      <w:r w:rsidDel="00000000" w:rsidR="00000000" w:rsidRPr="00000000">
        <w:rPr>
          <w:rFonts w:ascii="Times New Roman" w:cs="Times New Roman" w:eastAsia="Times New Roman" w:hAnsi="Times New Roman"/>
          <w:b w:val="1"/>
          <w:sz w:val="24"/>
          <w:szCs w:val="24"/>
          <w:rtl w:val="0"/>
        </w:rPr>
        <w:t xml:space="preserve">25:36:010201:16995</w:t>
      </w:r>
      <w:r w:rsidDel="00000000" w:rsidR="00000000" w:rsidRPr="00000000">
        <w:rPr>
          <w:rFonts w:ascii="Times New Roman" w:cs="Times New Roman" w:eastAsia="Times New Roman" w:hAnsi="Times New Roman"/>
          <w:sz w:val="24"/>
          <w:szCs w:val="24"/>
          <w:rtl w:val="0"/>
        </w:rPr>
        <w:t xml:space="preserve">, принадлежащий Застройщику на основании договора аренды земельного участка № 230/22 от «21» декабря 2022 г., что подтверждается записью государственной регистрации № 25:36:010201:16995-25/060/2022-8 от «28» декабря 2022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ДИ1-ЦН-776014/2023/00032 от «23» марта 2023 г., запись государственной регистрации ипотеки № 25:36:010201:16995-25/060/2023-14 от «28» марта 2023 г. При этом от Банка ВТБ (публичное акционерное общество)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10">
      <w:pPr>
        <w:ind w:firstLine="54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25:36:010201:16995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w:t>
      </w:r>
      <w:r w:rsidDel="00000000" w:rsidR="00000000" w:rsidRPr="00000000">
        <w:rPr>
          <w:rFonts w:ascii="Times New Roman" w:cs="Times New Roman" w:eastAsia="Times New Roman" w:hAnsi="Times New Roman"/>
          <w:b w:val="1"/>
          <w:color w:val="000000"/>
          <w:sz w:val="24"/>
          <w:szCs w:val="24"/>
          <w:rtl w:val="0"/>
        </w:rPr>
        <w:t xml:space="preserve">«Многоквартирный жилой дом, по ул. Академика Курчатова, д.21 в г. Большой Камень, Приморский край»</w:t>
      </w:r>
      <w:r w:rsidDel="00000000" w:rsidR="00000000" w:rsidRPr="00000000">
        <w:rPr>
          <w:rFonts w:ascii="Times New Roman" w:cs="Times New Roman" w:eastAsia="Times New Roman" w:hAnsi="Times New Roman"/>
          <w:color w:val="000000"/>
          <w:sz w:val="24"/>
          <w:szCs w:val="24"/>
          <w:rtl w:val="0"/>
        </w:rPr>
        <w:t xml:space="preserve">, общей площадью 6 059,20 кв.м.,  </w:t>
      </w:r>
      <w:r w:rsidDel="00000000" w:rsidR="00000000" w:rsidRPr="00000000">
        <w:rPr>
          <w:rFonts w:ascii="Times New Roman" w:cs="Times New Roman" w:eastAsia="Times New Roman" w:hAnsi="Times New Roman"/>
          <w:color w:val="000000"/>
          <w:sz w:val="24"/>
          <w:szCs w:val="24"/>
          <w:u w:val="single"/>
          <w:rtl w:val="0"/>
        </w:rPr>
        <w:t xml:space="preserve">количество этажей</w:t>
      </w:r>
      <w:r w:rsidDel="00000000" w:rsidR="00000000" w:rsidRPr="00000000">
        <w:rPr>
          <w:rFonts w:ascii="Times New Roman" w:cs="Times New Roman" w:eastAsia="Times New Roman" w:hAnsi="Times New Roman"/>
          <w:color w:val="000000"/>
          <w:sz w:val="24"/>
          <w:szCs w:val="24"/>
          <w:rtl w:val="0"/>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покрытия. Колонны - монолитные ж/б размерами 300х600мм, из бетона кл. В25. Пилоны - монолитные ж/б толщиной 300мм из бетона кл. В25.</w:t>
      </w:r>
    </w:p>
    <w:p w:rsidR="00000000" w:rsidDel="00000000" w:rsidP="00000000" w:rsidRDefault="00000000" w:rsidRPr="00000000" w14:paraId="0000001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rsidR="00000000" w:rsidDel="00000000" w:rsidP="00000000" w:rsidRDefault="00000000" w:rsidRPr="00000000" w14:paraId="00000012">
      <w:pPr>
        <w:ind w:firstLine="540"/>
        <w:jc w:val="both"/>
        <w:rPr>
          <w:rFonts w:ascii="Times New Roman" w:cs="Times New Roman" w:eastAsia="Times New Roman" w:hAnsi="Times New Roman"/>
          <w:color w:val="000000"/>
          <w:sz w:val="24"/>
          <w:szCs w:val="24"/>
          <w:highlight w:val="green"/>
        </w:rPr>
      </w:pPr>
      <w:r w:rsidDel="00000000" w:rsidR="00000000" w:rsidRPr="00000000">
        <w:rPr>
          <w:rFonts w:ascii="Times New Roman" w:cs="Times New Roman" w:eastAsia="Times New Roman" w:hAnsi="Times New Roman"/>
          <w:color w:val="000000"/>
          <w:sz w:val="24"/>
          <w:szCs w:val="24"/>
          <w:rtl w:val="0"/>
        </w:rPr>
        <w:t xml:space="preserve">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(t=120 мм) и участки стен (t=250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r w:rsidDel="00000000" w:rsidR="00000000" w:rsidRPr="00000000">
        <w:rPr>
          <w:rtl w:val="0"/>
        </w:rPr>
      </w:r>
    </w:p>
    <w:p w:rsidR="00000000" w:rsidDel="00000000" w:rsidP="00000000" w:rsidRDefault="00000000" w:rsidRPr="00000000" w14:paraId="00000013">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Класс сейсмостойкости</w:t>
      </w:r>
      <w:r w:rsidDel="00000000" w:rsidR="00000000" w:rsidRPr="00000000">
        <w:rPr>
          <w:rFonts w:ascii="Times New Roman" w:cs="Times New Roman" w:eastAsia="Times New Roman" w:hAnsi="Times New Roman"/>
          <w:color w:val="000000"/>
          <w:sz w:val="24"/>
          <w:szCs w:val="24"/>
          <w:rtl w:val="0"/>
        </w:rPr>
        <w:t xml:space="preserve"> – 6 класс, </w:t>
      </w:r>
      <w:r w:rsidDel="00000000" w:rsidR="00000000" w:rsidRPr="00000000">
        <w:rPr>
          <w:rFonts w:ascii="Times New Roman" w:cs="Times New Roman" w:eastAsia="Times New Roman" w:hAnsi="Times New Roman"/>
          <w:color w:val="000000"/>
          <w:sz w:val="24"/>
          <w:szCs w:val="24"/>
          <w:u w:val="single"/>
          <w:rtl w:val="0"/>
        </w:rPr>
        <w:t xml:space="preserve">класс энергоэффективности</w:t>
      </w:r>
      <w:r w:rsidDel="00000000" w:rsidR="00000000" w:rsidRPr="00000000">
        <w:rPr>
          <w:rFonts w:ascii="Times New Roman" w:cs="Times New Roman" w:eastAsia="Times New Roman" w:hAnsi="Times New Roman"/>
          <w:color w:val="000000"/>
          <w:sz w:val="24"/>
          <w:szCs w:val="24"/>
          <w:rtl w:val="0"/>
        </w:rPr>
        <w:t xml:space="preserve"> – В, </w:t>
      </w:r>
      <w:r w:rsidDel="00000000" w:rsidR="00000000" w:rsidRPr="00000000">
        <w:rPr>
          <w:rFonts w:ascii="Times New Roman" w:cs="Times New Roman" w:eastAsia="Times New Roman" w:hAnsi="Times New Roman"/>
          <w:color w:val="000000"/>
          <w:sz w:val="24"/>
          <w:szCs w:val="24"/>
          <w:u w:val="single"/>
          <w:rtl w:val="0"/>
        </w:rPr>
        <w:t xml:space="preserve">расположенный </w:t>
      </w:r>
      <w:r w:rsidDel="00000000" w:rsidR="00000000" w:rsidRPr="00000000">
        <w:rPr>
          <w:rFonts w:ascii="Times New Roman" w:cs="Times New Roman" w:eastAsia="Times New Roman" w:hAnsi="Times New Roman"/>
          <w:sz w:val="24"/>
          <w:szCs w:val="24"/>
          <w:u w:val="single"/>
          <w:rtl w:val="0"/>
        </w:rPr>
        <w:t xml:space="preserve">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Приморский край, г. Большой Камень, ул. Академика Курчатова, д. 21,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Администрацией городского округа Большой Камень в лице управления архитектуры и градостроительства разрешения на строительство № 25-303-017-2020 от «03» ноября 2020 г.</w:t>
      </w:r>
    </w:p>
    <w:p w:rsidR="00000000" w:rsidDel="00000000" w:rsidP="00000000" w:rsidRDefault="00000000" w:rsidRPr="00000000" w14:paraId="00000014">
      <w:pPr>
        <w:widowControl w:val="1"/>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1784"/>
        <w:gridCol w:w="1536"/>
        <w:gridCol w:w="2152"/>
        <w:gridCol w:w="1473"/>
        <w:tblGridChange w:id="0">
          <w:tblGrid>
            <w:gridCol w:w="2122"/>
            <w:gridCol w:w="1784"/>
            <w:gridCol w:w="1536"/>
            <w:gridCol w:w="2152"/>
            <w:gridCol w:w="1473"/>
          </w:tblGrid>
        </w:tblGridChange>
      </w:tblGrid>
      <w:tr>
        <w:trPr>
          <w:cantSplit w:val="0"/>
          <w:trHeight w:val="881" w:hRule="atLeast"/>
          <w:tblHeader w:val="0"/>
        </w:trPr>
        <w:tc>
          <w:tcPr/>
          <w:p w:rsidR="00000000" w:rsidDel="00000000" w:rsidP="00000000" w:rsidRDefault="00000000" w:rsidRPr="00000000" w14:paraId="00000017">
            <w:pPr>
              <w:tabs>
                <w:tab w:val="left" w:leader="none" w:pos="634"/>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подъезда (блок-секции)</w:t>
            </w:r>
          </w:p>
        </w:tc>
        <w:tc>
          <w:tcPr/>
          <w:p w:rsidR="00000000" w:rsidDel="00000000" w:rsidP="00000000" w:rsidRDefault="00000000" w:rsidRPr="00000000" w14:paraId="00000018">
            <w:pPr>
              <w:ind w:right="34" w:firstLine="2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Условный №</w:t>
            </w:r>
          </w:p>
        </w:tc>
        <w:tc>
          <w:tcPr/>
          <w:p w:rsidR="00000000" w:rsidDel="00000000" w:rsidP="00000000" w:rsidRDefault="00000000" w:rsidRPr="00000000" w14:paraId="00000019">
            <w:pPr>
              <w:ind w:left="-90" w:right="-108" w:firstLine="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Тип / назначение помещения</w:t>
            </w:r>
            <w:r w:rsidDel="00000000" w:rsidR="00000000" w:rsidRPr="00000000">
              <w:rPr>
                <w:rtl w:val="0"/>
              </w:rPr>
            </w:r>
          </w:p>
        </w:tc>
        <w:tc>
          <w:tcPr/>
          <w:p w:rsidR="00000000" w:rsidDel="00000000" w:rsidP="00000000" w:rsidRDefault="00000000" w:rsidRPr="00000000" w14:paraId="0000001A">
            <w:pPr>
              <w:ind w:left="3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1B">
            <w:pPr>
              <w:ind w:left="34" w:right="-108"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C">
            <w:pPr>
              <w:ind w:right="-108" w:firstLine="3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Этаж</w:t>
            </w: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{{f_bs}}</w:t>
            </w:r>
          </w:p>
        </w:tc>
        <w:tc>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Нежилое помещение</w:t>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22">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«02» февраля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 на сайте наш.дом.рф.</w:t>
      </w:r>
    </w:p>
    <w:p w:rsidR="00000000" w:rsidDel="00000000" w:rsidP="00000000" w:rsidRDefault="00000000" w:rsidRPr="00000000" w14:paraId="0000002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2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2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2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2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2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30">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3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«30» сентября 202</w:t>
      </w:r>
      <w:r w:rsidDel="00000000" w:rsidR="00000000" w:rsidRPr="00000000">
        <w:rPr>
          <w:rFonts w:ascii="Times New Roman" w:cs="Times New Roman" w:eastAsia="Times New Roman" w:hAnsi="Times New Roman"/>
          <w:b w:val="1"/>
          <w:sz w:val="24"/>
          <w:szCs w:val="24"/>
          <w:rtl w:val="0"/>
        </w:rPr>
        <w:t xml:space="preserve">4 г.</w:t>
      </w:r>
      <w:r w:rsidDel="00000000" w:rsidR="00000000" w:rsidRPr="00000000">
        <w:rPr>
          <w:rtl w:val="0"/>
        </w:rPr>
      </w:r>
    </w:p>
    <w:p w:rsidR="00000000" w:rsidDel="00000000" w:rsidP="00000000" w:rsidRDefault="00000000" w:rsidRPr="00000000" w14:paraId="0000003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9">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3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3D">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3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4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Указанная цена Объекта подлежит изменению в соответствии с п. 4.8 настоящего договора.</w:t>
      </w:r>
    </w:p>
    <w:p w:rsidR="00000000" w:rsidDel="00000000" w:rsidP="00000000" w:rsidRDefault="00000000" w:rsidRPr="00000000" w14:paraId="00000042">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43">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Приморскому краю</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p>
    <w:p w:rsidR="00000000" w:rsidDel="00000000" w:rsidP="00000000" w:rsidRDefault="00000000" w:rsidRPr="00000000" w14:paraId="0000004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Общество с ограниченной ответственностью Специализированный застройщик «ДомСМУ88» (ООО СЗ «ДОМСМУ88»)</w:t>
      </w:r>
    </w:p>
    <w:p w:rsidR="00000000" w:rsidDel="00000000" w:rsidP="00000000" w:rsidRDefault="00000000" w:rsidRPr="00000000" w14:paraId="0000004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49">
      <w:pPr>
        <w:ind w:firstLine="567"/>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4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p>
    <w:p w:rsidR="00000000" w:rsidDel="00000000" w:rsidP="00000000" w:rsidRDefault="00000000" w:rsidRPr="00000000" w14:paraId="0000004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p>
    <w:p w:rsidR="00000000" w:rsidDel="00000000" w:rsidP="00000000" w:rsidRDefault="00000000" w:rsidRPr="00000000" w14:paraId="0000004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4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5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5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rsidR="00000000" w:rsidDel="00000000" w:rsidP="00000000" w:rsidRDefault="00000000" w:rsidRPr="00000000" w14:paraId="0000005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4 таблицы, приведенной в п. 1.1.3 настоящего договора.</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rsidR="00000000" w:rsidDel="00000000" w:rsidP="00000000" w:rsidRDefault="00000000" w:rsidRPr="00000000" w14:paraId="00000057">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rsidR="00000000" w:rsidDel="00000000" w:rsidP="00000000" w:rsidRDefault="00000000" w:rsidRPr="00000000" w14:paraId="00000058">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rsidR="00000000" w:rsidDel="00000000" w:rsidP="00000000" w:rsidRDefault="00000000" w:rsidRPr="00000000" w14:paraId="00000059">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5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«30» января 2025 г. </w:t>
      </w:r>
      <w:r w:rsidDel="00000000" w:rsidR="00000000" w:rsidRPr="00000000">
        <w:rPr>
          <w:rFonts w:ascii="Times New Roman" w:cs="Times New Roman" w:eastAsia="Times New Roman" w:hAnsi="Times New Roman"/>
          <w:sz w:val="24"/>
          <w:szCs w:val="24"/>
          <w:rtl w:val="0"/>
        </w:rPr>
        <w:t xml:space="preserve">в степени готовности, включающей выполнение следующих видов строительных и отделочных работ в </w:t>
      </w:r>
      <w:r w:rsidDel="00000000" w:rsidR="00000000" w:rsidRPr="00000000">
        <w:rPr>
          <w:rFonts w:ascii="Times New Roman" w:cs="Times New Roman" w:eastAsia="Times New Roman" w:hAnsi="Times New Roman"/>
          <w:color w:val="000000"/>
          <w:sz w:val="24"/>
          <w:szCs w:val="24"/>
          <w:rtl w:val="0"/>
        </w:rPr>
        <w:t xml:space="preserve">нежилых помещениях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межкомнатных перегородок на всю высоту этажа из газобетонных блоков, возведение перегородок и стен санузлов из кирпича керамического на всю высоту этажа; </w:t>
      </w:r>
    </w:p>
    <w:p w:rsidR="00000000" w:rsidDel="00000000" w:rsidP="00000000" w:rsidRDefault="00000000" w:rsidRPr="00000000" w14:paraId="00000060">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железобетонная плита перекрытия толщиной 180мм, утепление из экструдированного пенополистирола 70 мм, цементно-песчаная стяжка 50 мм, отделка пола толщиной 20 мм. Финишное покрытие выполняется собственниками помещений после ввода объекта в эксплуатацию; </w:t>
      </w:r>
    </w:p>
    <w:p w:rsidR="00000000" w:rsidDel="00000000" w:rsidP="00000000" w:rsidRDefault="00000000" w:rsidRPr="00000000" w14:paraId="00000061">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витражей из алюминиевого профиля;</w:t>
      </w:r>
    </w:p>
    <w:p w:rsidR="00000000" w:rsidDel="00000000" w:rsidP="00000000" w:rsidRDefault="00000000" w:rsidRPr="00000000" w14:paraId="00000062">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передаче Объекта Застройщик передает Участнику долевого строительства инструкцию по эксплуатации Объекта.</w:t>
      </w:r>
    </w:p>
    <w:p w:rsidR="00000000" w:rsidDel="00000000" w:rsidP="00000000" w:rsidRDefault="00000000" w:rsidRPr="00000000" w14:paraId="0000006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Приморскому краю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6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6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6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6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6A">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6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6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6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7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Приморскому краю.</w:t>
      </w:r>
    </w:p>
    <w:p w:rsidR="00000000" w:rsidDel="00000000" w:rsidP="00000000" w:rsidRDefault="00000000" w:rsidRPr="00000000" w14:paraId="0000007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7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w:t>
      </w:r>
      <w:r w:rsidDel="00000000" w:rsidR="00000000" w:rsidRPr="00000000">
        <w:rPr>
          <w:rFonts w:ascii="Times New Roman" w:cs="Times New Roman" w:eastAsia="Times New Roman" w:hAnsi="Times New Roman"/>
          <w:sz w:val="24"/>
          <w:szCs w:val="24"/>
          <w:rtl w:val="0"/>
        </w:rPr>
        <w:t xml:space="preserve">устройство проемов в несущих стенах</w:t>
      </w:r>
      <w:r w:rsidDel="00000000" w:rsidR="00000000" w:rsidRPr="00000000">
        <w:rPr>
          <w:rFonts w:ascii="Times New Roman" w:cs="Times New Roman" w:eastAsia="Times New Roman" w:hAnsi="Times New Roman"/>
          <w:sz w:val="24"/>
          <w:szCs w:val="24"/>
          <w:rtl w:val="0"/>
        </w:rPr>
        <w:t xml:space="preserve">,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7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7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7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7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7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Приморскому краю. </w:t>
      </w:r>
    </w:p>
    <w:p w:rsidR="00000000" w:rsidDel="00000000" w:rsidP="00000000" w:rsidRDefault="00000000" w:rsidRPr="00000000" w14:paraId="0000007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rsidR="00000000" w:rsidDel="00000000" w:rsidP="00000000" w:rsidRDefault="00000000" w:rsidRPr="00000000" w14:paraId="0000007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7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7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7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7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8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8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color w:val="1a1a1a"/>
          <w:sz w:val="24"/>
          <w:szCs w:val="24"/>
          <w:rtl w:val="0"/>
        </w:rPr>
        <w:t xml:space="preserve">изменение архитектурного решения фасада и несущих элементов конструкции Дома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8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8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85">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8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87">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Участник долевого строительства вправе требовать разовую регулировку стеклопакета за счет Застройщика до приемки Объекта и подписания акта приема-передачи Объекта.</w:t>
      </w:r>
    </w:p>
    <w:p w:rsidR="00000000" w:rsidDel="00000000" w:rsidP="00000000" w:rsidRDefault="00000000" w:rsidRPr="00000000" w14:paraId="00000088">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8A">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8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8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8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8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8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 </w:t>
      </w:r>
      <w:r w:rsidDel="00000000" w:rsidR="00000000" w:rsidRPr="00000000">
        <w:rPr>
          <w:rFonts w:ascii="Times New Roman" w:cs="Times New Roman" w:eastAsia="Times New Roman" w:hAnsi="Times New Roman"/>
          <w:sz w:val="24"/>
          <w:szCs w:val="24"/>
          <w:rtl w:val="0"/>
        </w:rPr>
        <w:t xml:space="preserve">Стороны исходят из того, что свидетельством надлежащего качества Объекта,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выданное соответствующим органом, согласно Градостроительного кодекса РФ.</w:t>
      </w:r>
      <w:r w:rsidDel="00000000" w:rsidR="00000000" w:rsidRPr="00000000">
        <w:rPr>
          <w:rtl w:val="0"/>
        </w:rPr>
      </w:r>
    </w:p>
    <w:p w:rsidR="00000000" w:rsidDel="00000000" w:rsidP="00000000" w:rsidRDefault="00000000" w:rsidRPr="00000000" w14:paraId="0000009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9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9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9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9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 </w:t>
      </w:r>
      <w:r w:rsidDel="00000000" w:rsidR="00000000" w:rsidRPr="00000000">
        <w:rPr>
          <w:rFonts w:ascii="Times New Roman" w:cs="Times New Roman" w:eastAsia="Times New Roman" w:hAnsi="Times New Roman"/>
          <w:sz w:val="24"/>
          <w:szCs w:val="24"/>
          <w:rtl w:val="0"/>
        </w:rPr>
        <w:t xml:space="preserve">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9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rsidR="00000000" w:rsidDel="00000000" w:rsidP="00000000" w:rsidRDefault="00000000" w:rsidRPr="00000000" w14:paraId="00000097">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9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9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9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9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9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9F">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A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A2">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A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A5">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A6">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соответствии с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000000" w:rsidDel="00000000" w:rsidP="00000000" w:rsidRDefault="00000000" w:rsidRPr="00000000" w14:paraId="000000A7">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AB">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A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A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A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B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B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B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B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B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3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B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B6">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B8">
      <w:pPr>
        <w:widowControl w:val="1"/>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B9">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BA">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BB">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1151690098372, ИНН 1657203986, КПП 165501001,</w:t>
      </w:r>
    </w:p>
    <w:p w:rsidR="00000000" w:rsidDel="00000000" w:rsidP="00000000" w:rsidRDefault="00000000" w:rsidRPr="00000000" w14:paraId="000000BC">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40702810825240000546в Филиале «Центральный» Банка ВТБ (ПАО) в г. Москве,</w:t>
      </w:r>
    </w:p>
    <w:p w:rsidR="00000000" w:rsidDel="00000000" w:rsidP="00000000" w:rsidRDefault="00000000" w:rsidRPr="00000000" w14:paraId="000000BD">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30101810145250000411, БИК 044525411.</w:t>
      </w:r>
    </w:p>
    <w:p w:rsidR="00000000" w:rsidDel="00000000" w:rsidP="00000000" w:rsidRDefault="00000000" w:rsidRPr="00000000" w14:paraId="000000BE">
      <w:pPr>
        <w:widowControl w:val="1"/>
        <w:ind w:left="566"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электронной почты: mail@smu88.ru</w:t>
      </w:r>
    </w:p>
    <w:p w:rsidR="00000000" w:rsidDel="00000000" w:rsidP="00000000" w:rsidRDefault="00000000" w:rsidRPr="00000000" w14:paraId="000000BF">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1">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C2">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C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C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1"/>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C8">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C9">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CA">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0CD">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p w:rsidR="00000000" w:rsidDel="00000000" w:rsidP="00000000" w:rsidRDefault="00000000" w:rsidRPr="00000000" w14:paraId="000000CF">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D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D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D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D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D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C">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4">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E5">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E6">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КП-ПК-{{f_bs}}/{{f_num}} от «{{num_d}}» {{num_M}} {{num_y}} г.</w:t>
      </w:r>
      <w:r w:rsidDel="00000000" w:rsidR="00000000" w:rsidRPr="00000000">
        <w:rPr>
          <w:rtl w:val="0"/>
        </w:rPr>
      </w:r>
    </w:p>
    <w:p w:rsidR="00000000" w:rsidDel="00000000" w:rsidP="00000000" w:rsidRDefault="00000000" w:rsidRPr="00000000" w14:paraId="000000E7">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EA">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EB">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ED">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EE">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(блок-секция) – {{f_bs}}</w:t>
      </w:r>
    </w:p>
    <w:p w:rsidR="00000000" w:rsidDel="00000000" w:rsidP="00000000" w:rsidRDefault="00000000" w:rsidRPr="00000000" w14:paraId="000000EF">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F1">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Степень готовности Объекта включает выполнение следующих видов строительных и отделочных работ:</w:t>
      </w:r>
    </w:p>
    <w:p w:rsidR="00000000" w:rsidDel="00000000" w:rsidP="00000000" w:rsidRDefault="00000000" w:rsidRPr="00000000" w14:paraId="000000F4">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возведение межкомнатных перегородок на всю высоту этажа из газобетонных блоков, возведение перегородок и стен санузлов из кирпича керамического на всю высоту этажа; </w:t>
      </w:r>
    </w:p>
    <w:p w:rsidR="00000000" w:rsidDel="00000000" w:rsidP="00000000" w:rsidRDefault="00000000" w:rsidRPr="00000000" w14:paraId="000000F5">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полы: железобетонная плита перекрытия толщиной 180мм, утепление из экструдированного пенополистирола 70 мм, цементно-песчаная стяжка 50 мм, отделка пола толщиной 20 мм. Финишное покрытие выполняется собственниками помещений после ввода объекта в эксплуатацию; </w:t>
      </w:r>
    </w:p>
    <w:p w:rsidR="00000000" w:rsidDel="00000000" w:rsidP="00000000" w:rsidRDefault="00000000" w:rsidRPr="00000000" w14:paraId="000000F6">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установка витражей из алюминиевого профиля;</w:t>
      </w:r>
    </w:p>
    <w:p w:rsidR="00000000" w:rsidDel="00000000" w:rsidP="00000000" w:rsidRDefault="00000000" w:rsidRPr="00000000" w14:paraId="000000F7">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нежилых помещениях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rsidR="00000000" w:rsidDel="00000000" w:rsidP="00000000" w:rsidRDefault="00000000" w:rsidRPr="00000000" w14:paraId="000000F8">
      <w:pPr>
        <w:widowControl w:val="1"/>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9">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0FA">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FB">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0FC">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0FF">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widowControl w:val="1"/>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p w:rsidR="00000000" w:rsidDel="00000000" w:rsidP="00000000" w:rsidRDefault="00000000" w:rsidRPr="00000000" w14:paraId="00000101">
            <w:pPr>
              <w:widowControl w:val="1"/>
              <w:ind w:left="459" w:firstLine="0"/>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0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03">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0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0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0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0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112">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13">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КП-ПК-{{f_bs}}/{{f_num}} от «{{num_d}}» {{num_M}} {{num_y}} г.</w:t>
      </w:r>
      <w:r w:rsidDel="00000000" w:rsidR="00000000" w:rsidRPr="00000000">
        <w:rPr>
          <w:rtl w:val="0"/>
        </w:rPr>
      </w:r>
    </w:p>
    <w:p w:rsidR="00000000" w:rsidDel="00000000" w:rsidP="00000000" w:rsidRDefault="00000000" w:rsidRPr="00000000" w14:paraId="00000114">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18">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19">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1C">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20">
            <w:pPr>
              <w:widowControl w:val="1"/>
              <w:tabs>
                <w:tab w:val="left" w:leader="none" w:pos="5850"/>
              </w:tabs>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21">
            <w:pPr>
              <w:widowControl w:val="1"/>
              <w:ind w:left="2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«ДОМСМУ88»</w:t>
            </w:r>
          </w:p>
          <w:p w:rsidR="00000000" w:rsidDel="00000000" w:rsidP="00000000" w:rsidRDefault="00000000" w:rsidRPr="00000000" w14:paraId="00000122">
            <w:pPr>
              <w:widowControl w:val="1"/>
              <w:ind w:left="2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widowControl w:val="1"/>
              <w:ind w:left="2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Хохрина К.А.</w:t>
            </w:r>
          </w:p>
          <w:p w:rsidR="00000000" w:rsidDel="00000000" w:rsidP="00000000" w:rsidRDefault="00000000" w:rsidRPr="00000000" w14:paraId="00000125">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1"/>
              <w:ind w:left="22"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на основании доверенности 16 АА 7667596 от 28.02.2023 г., зарегистрированной в реестре за № 16/196-н/16-2023-3-242</w:t>
            </w:r>
            <w:r w:rsidDel="00000000" w:rsidR="00000000" w:rsidRPr="00000000">
              <w:rPr>
                <w:rtl w:val="0"/>
              </w:rPr>
            </w:r>
          </w:p>
          <w:p w:rsidR="00000000" w:rsidDel="00000000" w:rsidP="00000000" w:rsidRDefault="00000000" w:rsidRPr="00000000" w14:paraId="00000127">
            <w:pPr>
              <w:widowControl w:val="1"/>
              <w:ind w:left="22"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2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2A">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2D">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2F">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32">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33">
            <w:pPr>
              <w:widowControl w:val="1"/>
              <w:tabs>
                <w:tab w:val="left" w:leader="none" w:pos="5850"/>
              </w:tabs>
              <w:ind w:firstLine="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4">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6">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Pr>
      <w:color w:val="000000"/>
    </w:rPr>
    <w:tblPr>
      <w:tblStyleRowBandSize w:val="1"/>
      <w:tblStyleColBandSize w:val="1"/>
      <w:tblCellMar>
        <w:left w:w="115.0" w:type="dxa"/>
        <w:right w:w="115.0" w:type="dxa"/>
      </w:tblCellMar>
    </w:tblPr>
  </w:style>
  <w:style w:type="table" w:styleId="af9" w:customStyle="1">
    <w:basedOn w:val="TableNormal1"/>
    <w:rPr>
      <w:color w:val="000000"/>
    </w:rPr>
    <w:tblPr>
      <w:tblStyleRowBandSize w:val="1"/>
      <w:tblStyleColBandSize w:val="1"/>
      <w:tblCellMar>
        <w:left w:w="115.0" w:type="dxa"/>
        <w:right w:w="115.0" w:type="dxa"/>
      </w:tblCellMar>
    </w:tblPr>
  </w:style>
  <w:style w:type="table" w:styleId="afa" w:customStyle="1">
    <w:basedOn w:val="TableNormal1"/>
    <w:rPr>
      <w:color w:val="000000"/>
    </w:rPr>
    <w:tblPr>
      <w:tblStyleRowBandSize w:val="1"/>
      <w:tblStyleColBandSize w:val="1"/>
      <w:tblCellMar>
        <w:left w:w="115.0" w:type="dxa"/>
        <w:right w:w="115.0" w:type="dxa"/>
      </w:tblCellMar>
    </w:tblPr>
  </w:style>
  <w:style w:type="table" w:styleId="afb" w:customStyle="1">
    <w:basedOn w:val="TableNormal1"/>
    <w:rPr>
      <w:color w:val="000000"/>
    </w:rPr>
    <w:tblPr>
      <w:tblStyleRowBandSize w:val="1"/>
      <w:tblStyleColBandSize w:val="1"/>
      <w:tblCellMar>
        <w:left w:w="115.0" w:type="dxa"/>
        <w:right w:w="115.0" w:type="dxa"/>
      </w:tblCellMar>
    </w:tblPr>
  </w:style>
  <w:style w:type="table" w:styleId="afc" w:customStyle="1">
    <w:basedOn w:val="TableNormal1"/>
    <w:rPr>
      <w:color w:val="000000"/>
    </w:rPr>
    <w:tblPr>
      <w:tblStyleRowBandSize w:val="1"/>
      <w:tblStyleColBandSize w:val="1"/>
      <w:tblCellMar>
        <w:left w:w="115.0" w:type="dxa"/>
        <w:right w:w="115.0" w:type="dxa"/>
      </w:tblCellMar>
    </w:tblPr>
  </w:style>
  <w:style w:type="table" w:styleId="afd" w:customStyle="1">
    <w:basedOn w:val="TableNormal0"/>
    <w:rPr>
      <w:color w:val="000000"/>
    </w:rPr>
    <w:tblPr>
      <w:tblStyleRowBandSize w:val="1"/>
      <w:tblStyleColBandSize w:val="1"/>
      <w:tblCellMar>
        <w:left w:w="115.0" w:type="dxa"/>
        <w:right w:w="115.0" w:type="dxa"/>
      </w:tblCellMar>
    </w:tblPr>
  </w:style>
  <w:style w:type="table" w:styleId="afe" w:customStyle="1">
    <w:basedOn w:val="TableNormal0"/>
    <w:rPr>
      <w:color w:val="000000"/>
    </w:rPr>
    <w:tblPr>
      <w:tblStyleRowBandSize w:val="1"/>
      <w:tblStyleColBandSize w:val="1"/>
      <w:tblCellMar>
        <w:left w:w="115.0" w:type="dxa"/>
        <w:right w:w="115.0" w:type="dxa"/>
      </w:tblCellMar>
    </w:tblPr>
  </w:style>
  <w:style w:type="table" w:styleId="aff" w:customStyle="1">
    <w:basedOn w:val="TableNormal0"/>
    <w:rPr>
      <w:color w:val="000000"/>
    </w:rPr>
    <w:tblPr>
      <w:tblStyleRowBandSize w:val="1"/>
      <w:tblStyleColBandSize w:val="1"/>
      <w:tblCellMar>
        <w:left w:w="115.0" w:type="dxa"/>
        <w:right w:w="115.0" w:type="dxa"/>
      </w:tblCellMar>
    </w:tblPr>
  </w:style>
  <w:style w:type="table" w:styleId="aff0" w:customStyle="1">
    <w:basedOn w:val="TableNormal0"/>
    <w:rPr>
      <w:color w:val="000000"/>
    </w:rPr>
    <w:tblPr>
      <w:tblStyleRowBandSize w:val="1"/>
      <w:tblStyleColBandSize w:val="1"/>
      <w:tblCellMar>
        <w:left w:w="115.0" w:type="dxa"/>
        <w:right w:w="115.0" w:type="dxa"/>
      </w:tblCellMar>
    </w:tblPr>
  </w:style>
  <w:style w:type="table" w:styleId="aff1" w:customStyle="1">
    <w:basedOn w:val="TableNormal0"/>
    <w:rPr>
      <w:color w:val="000000"/>
    </w:rPr>
    <w:tblPr>
      <w:tblStyleRowBandSize w:val="1"/>
      <w:tblStyleColBandSize w:val="1"/>
      <w:tblCellMar>
        <w:left w:w="115.0" w:type="dxa"/>
        <w:right w:w="115.0" w:type="dxa"/>
      </w:tblCellMar>
    </w:tblPr>
  </w:style>
  <w:style w:type="character" w:styleId="aff2">
    <w:name w:val="annotation reference"/>
    <w:basedOn w:val="a0"/>
    <w:uiPriority w:val="99"/>
    <w:semiHidden w:val="1"/>
    <w:unhideWhenUsed w:val="1"/>
    <w:rsid w:val="00375C2B"/>
    <w:rPr>
      <w:sz w:val="16"/>
      <w:szCs w:val="16"/>
    </w:rPr>
  </w:style>
  <w:style w:type="paragraph" w:styleId="aff3">
    <w:name w:val="annotation text"/>
    <w:basedOn w:val="a"/>
    <w:link w:val="aff4"/>
    <w:uiPriority w:val="99"/>
    <w:semiHidden w:val="1"/>
    <w:unhideWhenUsed w:val="1"/>
    <w:rsid w:val="00375C2B"/>
  </w:style>
  <w:style w:type="character" w:styleId="aff4" w:customStyle="1">
    <w:name w:val="Текст примечания Знак"/>
    <w:basedOn w:val="a0"/>
    <w:link w:val="aff3"/>
    <w:uiPriority w:val="99"/>
    <w:semiHidden w:val="1"/>
    <w:rsid w:val="00375C2B"/>
    <w:rPr>
      <w:color w:val="000000"/>
    </w:rPr>
  </w:style>
  <w:style w:type="paragraph" w:styleId="aff5">
    <w:name w:val="annotation subject"/>
    <w:basedOn w:val="aff3"/>
    <w:next w:val="aff3"/>
    <w:link w:val="aff6"/>
    <w:uiPriority w:val="99"/>
    <w:semiHidden w:val="1"/>
    <w:unhideWhenUsed w:val="1"/>
    <w:rsid w:val="00375C2B"/>
    <w:rPr>
      <w:b w:val="1"/>
      <w:bCs w:val="1"/>
    </w:rPr>
  </w:style>
  <w:style w:type="character" w:styleId="aff6" w:customStyle="1">
    <w:name w:val="Тема примечания Знак"/>
    <w:basedOn w:val="aff4"/>
    <w:link w:val="aff5"/>
    <w:uiPriority w:val="99"/>
    <w:semiHidden w:val="1"/>
    <w:rsid w:val="00375C2B"/>
    <w:rPr>
      <w:b w:val="1"/>
      <w:bCs w:val="1"/>
      <w:color w:val="000000"/>
    </w:rPr>
  </w:style>
  <w:style w:type="paragraph" w:styleId="aff7">
    <w:name w:val="Revision"/>
    <w:hidden w:val="1"/>
    <w:uiPriority w:val="99"/>
    <w:semiHidden w:val="1"/>
    <w:rsid w:val="005660B4"/>
    <w:pPr>
      <w:widowControl w:val="1"/>
    </w:pPr>
    <w:rPr>
      <w:color w:val="000000"/>
    </w:rPr>
  </w:style>
  <w:style w:type="paragraph" w:styleId="aff8">
    <w:name w:val="List Paragraph"/>
    <w:basedOn w:val="a"/>
    <w:uiPriority w:val="34"/>
    <w:qFormat w:val="1"/>
    <w:rsid w:val="00C9073D"/>
    <w:pPr>
      <w:ind w:left="720"/>
      <w:contextualSpacing w:val="1"/>
    </w:pPr>
  </w:style>
  <w:style w:type="paragraph" w:styleId="aff9">
    <w:name w:val="Normal (Web)"/>
    <w:basedOn w:val="a"/>
    <w:uiPriority w:val="99"/>
    <w:unhideWhenUsed w:val="1"/>
    <w:rsid w:val="004E414F"/>
    <w:pPr>
      <w:widowControl w:val="1"/>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hI4YICGnTyWw4xBM9oiDWR9JtQ==">CgMxLjAyCWguMzBqMHpsbDgAciExM1J5X2hkdlBZVWFfRkRfUHRQaEw5M2dkQUtURWFzaGU=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2022-11-29T15:55:00Z</dcterms:created>
  <dc:creator>Ваш Юрист</dc:creator>
</cp:coreProperties>
</file>