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7B16172C" w:rsidR="00DA0B4E" w:rsidRPr="004327B2" w:rsidRDefault="00DA0B4E" w:rsidP="003E5B04">
            <w:pPr>
              <w:ind w:left="-108"/>
              <w:rPr>
                <w:sz w:val="24"/>
                <w:szCs w:val="24"/>
              </w:rPr>
            </w:pPr>
            <w:r w:rsidRPr="004327B2">
              <w:rPr>
                <w:sz w:val="24"/>
                <w:szCs w:val="24"/>
              </w:rPr>
              <w:t>г</w:t>
            </w:r>
            <w:r w:rsidRPr="004327B2">
              <w:rPr>
                <w:sz w:val="24"/>
                <w:szCs w:val="24"/>
                <w:lang w:val="en-US"/>
              </w:rPr>
              <w:t>.</w:t>
            </w:r>
            <w:r w:rsidR="004327B2" w:rsidRPr="004327B2">
              <w:rPr>
                <w:color w:val="000000" w:themeColor="text1"/>
                <w:sz w:val="24"/>
                <w:szCs w:val="24"/>
              </w:rPr>
              <w:t xml:space="preserve"> Южно - Сахалинск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327B2">
              <w:rPr>
                <w:bCs/>
                <w:sz w:val="24"/>
                <w:szCs w:val="24"/>
              </w:rPr>
              <w:t>«</w:t>
            </w:r>
            <w:r w:rsidRPr="004327B2">
              <w:rPr>
                <w:bCs/>
                <w:sz w:val="24"/>
                <w:szCs w:val="24"/>
                <w:lang w:val="en-US"/>
              </w:rPr>
              <w:t>__</w:t>
            </w:r>
            <w:r w:rsidRPr="004327B2">
              <w:rPr>
                <w:bCs/>
                <w:sz w:val="24"/>
                <w:szCs w:val="24"/>
              </w:rPr>
              <w:t xml:space="preserve">» </w:t>
            </w:r>
            <w:r w:rsidRPr="004327B2">
              <w:rPr>
                <w:bCs/>
                <w:sz w:val="24"/>
                <w:szCs w:val="24"/>
                <w:lang w:val="en-US"/>
              </w:rPr>
              <w:t>________</w:t>
            </w:r>
            <w:r w:rsidRPr="004327B2">
              <w:rPr>
                <w:bCs/>
                <w:sz w:val="24"/>
                <w:szCs w:val="24"/>
              </w:rPr>
              <w:t xml:space="preserve"> 20___ </w:t>
            </w:r>
            <w:r w:rsidR="0029382C" w:rsidRPr="004327B2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DB6D320" w:rsidR="00E87D8C" w:rsidRDefault="004327B2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F703395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AB67B6" w:rsidRPr="00AB67B6">
        <w:rPr>
          <w:iCs/>
          <w:sz w:val="24"/>
          <w:szCs w:val="24"/>
        </w:rPr>
        <w:t>"Жилой комплекс «УЮН», Третья очередь строительства". Корпус 19.2. Общая площадь здания – 9 072,2 кв.м. Наружные стены —   несущие, монолитные, в уровне 1-17 этажей</w:t>
      </w:r>
      <w:r w:rsidR="00AB67B6">
        <w:rPr>
          <w:iCs/>
          <w:sz w:val="24"/>
          <w:szCs w:val="24"/>
        </w:rPr>
        <w:t xml:space="preserve"> </w:t>
      </w:r>
      <w:r w:rsidR="00AB67B6" w:rsidRPr="00AB67B6">
        <w:rPr>
          <w:iCs/>
          <w:sz w:val="24"/>
          <w:szCs w:val="24"/>
        </w:rPr>
        <w:t>-</w:t>
      </w:r>
      <w:r w:rsidR="00AB67B6">
        <w:rPr>
          <w:iCs/>
          <w:sz w:val="24"/>
          <w:szCs w:val="24"/>
        </w:rPr>
        <w:t xml:space="preserve"> </w:t>
      </w:r>
      <w:r w:rsidR="00AB67B6" w:rsidRPr="00AB67B6">
        <w:rPr>
          <w:iCs/>
          <w:sz w:val="24"/>
          <w:szCs w:val="24"/>
        </w:rPr>
        <w:t>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кад. номером 65:01:0314001:163</w:t>
      </w:r>
      <w:r w:rsidR="00F611A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051AA19" w14:textId="77777777" w:rsidR="00415B0D" w:rsidRPr="00415B0D" w:rsidRDefault="00415B0D" w:rsidP="00415B0D">
      <w:pPr>
        <w:ind w:left="720" w:hanging="11"/>
        <w:jc w:val="both"/>
        <w:rPr>
          <w:sz w:val="24"/>
          <w:szCs w:val="24"/>
        </w:rPr>
      </w:pPr>
      <w:r w:rsidRPr="00415B0D">
        <w:rPr>
          <w:sz w:val="24"/>
          <w:szCs w:val="24"/>
        </w:rPr>
        <w:t>- Договор аренды земельного участка №14760 от 16.05.2021 г. (в редакции дополнительных соглашений), зарегистрированный 07.07.2022 за № 65:01:0314001:163-65/074/2022-2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65:01:0314001:163, вид разрешенного использования – Многоэтажная жилая застройка (высотная застройка) (код2.6), площадью 13 620 кв.м.</w:t>
      </w:r>
    </w:p>
    <w:p w14:paraId="4397866E" w14:textId="17F758E7" w:rsidR="00415B0D" w:rsidRDefault="00415B0D" w:rsidP="00415B0D">
      <w:pPr>
        <w:ind w:left="720" w:hanging="11"/>
        <w:jc w:val="both"/>
        <w:rPr>
          <w:sz w:val="24"/>
          <w:szCs w:val="24"/>
        </w:rPr>
      </w:pPr>
      <w:r w:rsidRPr="00415B0D">
        <w:rPr>
          <w:sz w:val="24"/>
          <w:szCs w:val="24"/>
        </w:rPr>
        <w:t>-  Разрешение на строительство №65-01-7979-2023 от 19.01.2023 г. выдано Департаментом архитектуры и градостроительства города Южно-Сахалинска.</w:t>
      </w:r>
    </w:p>
    <w:p w14:paraId="146306BD" w14:textId="51EB1BD4" w:rsidR="00E87D8C" w:rsidRPr="00C37AF3" w:rsidRDefault="00E87D8C" w:rsidP="00E173F4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</w:t>
      </w:r>
      <w:r w:rsidRPr="00D8449D">
        <w:rPr>
          <w:sz w:val="24"/>
          <w:szCs w:val="24"/>
        </w:rPr>
        <w:lastRenderedPageBreak/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2C2EC4AD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415B0D">
        <w:rPr>
          <w:iCs/>
          <w:sz w:val="24"/>
          <w:szCs w:val="24"/>
          <w:lang w:val="en-US"/>
        </w:rPr>
        <w:t>01</w:t>
      </w:r>
      <w:r w:rsidR="00757368" w:rsidRPr="00045AF2">
        <w:rPr>
          <w:iCs/>
          <w:sz w:val="24"/>
          <w:szCs w:val="24"/>
        </w:rPr>
        <w:t xml:space="preserve"> </w:t>
      </w:r>
      <w:r w:rsidR="00415B0D">
        <w:rPr>
          <w:iCs/>
          <w:sz w:val="24"/>
          <w:szCs w:val="24"/>
        </w:rPr>
        <w:t>февраля</w:t>
      </w:r>
      <w:r w:rsidR="00757368" w:rsidRPr="00045AF2">
        <w:rPr>
          <w:iCs/>
          <w:sz w:val="24"/>
          <w:szCs w:val="24"/>
        </w:rPr>
        <w:t xml:space="preserve"> 202</w:t>
      </w:r>
      <w:r w:rsidR="00415B0D">
        <w:rPr>
          <w:iCs/>
          <w:sz w:val="24"/>
          <w:szCs w:val="24"/>
        </w:rPr>
        <w:t>5</w:t>
      </w:r>
      <w:r w:rsidR="00757368" w:rsidRPr="00045AF2">
        <w:rPr>
          <w:iCs/>
          <w:sz w:val="24"/>
          <w:szCs w:val="24"/>
        </w:rPr>
        <w:t xml:space="preserve"> </w:t>
      </w:r>
      <w:r w:rsidR="00757368" w:rsidRPr="00045AF2">
        <w:rPr>
          <w:rFonts w:eastAsia="Calibri"/>
          <w:noProof/>
          <w:sz w:val="24"/>
          <w:szCs w:val="24"/>
        </w:rPr>
        <w:t>года</w:t>
      </w:r>
      <w:r w:rsidR="00757368" w:rsidRPr="00045AF2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57701CE7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757368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757368" w:rsidRPr="00045AF2">
        <w:rPr>
          <w:iCs/>
          <w:sz w:val="24"/>
          <w:szCs w:val="24"/>
        </w:rPr>
        <w:t xml:space="preserve">не позднее </w:t>
      </w:r>
      <w:r w:rsidR="00415B0D">
        <w:rPr>
          <w:iCs/>
          <w:sz w:val="24"/>
          <w:szCs w:val="24"/>
        </w:rPr>
        <w:t>30</w:t>
      </w:r>
      <w:r w:rsidR="00757368" w:rsidRPr="00045AF2">
        <w:rPr>
          <w:iCs/>
          <w:sz w:val="24"/>
          <w:szCs w:val="24"/>
        </w:rPr>
        <w:t xml:space="preserve"> </w:t>
      </w:r>
      <w:r w:rsidR="00415B0D">
        <w:rPr>
          <w:iCs/>
          <w:sz w:val="24"/>
          <w:szCs w:val="24"/>
        </w:rPr>
        <w:t>марта</w:t>
      </w:r>
      <w:r w:rsidR="00757368" w:rsidRPr="00045AF2">
        <w:rPr>
          <w:iCs/>
          <w:sz w:val="24"/>
          <w:szCs w:val="24"/>
        </w:rPr>
        <w:t xml:space="preserve"> 202</w:t>
      </w:r>
      <w:r w:rsidR="00415B0D">
        <w:rPr>
          <w:iCs/>
          <w:sz w:val="24"/>
          <w:szCs w:val="24"/>
        </w:rPr>
        <w:t>5</w:t>
      </w:r>
      <w:r w:rsidR="00757368" w:rsidRPr="00045AF2">
        <w:rPr>
          <w:sz w:val="24"/>
          <w:szCs w:val="24"/>
        </w:rPr>
        <w:t xml:space="preserve"> года.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 xml:space="preserve">законом, вправе составить односторонний акт о передаче Объекта долевого строительства. При этом риск </w:t>
      </w:r>
      <w:r w:rsidRPr="00D8449D">
        <w:rPr>
          <w:iCs/>
          <w:sz w:val="24"/>
          <w:szCs w:val="24"/>
        </w:rPr>
        <w:lastRenderedPageBreak/>
        <w:t>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случаях, предусмотренных настоящим Договором, подписать необходимые </w:t>
      </w:r>
      <w:r w:rsidRPr="00D8449D">
        <w:rPr>
          <w:sz w:val="24"/>
          <w:szCs w:val="24"/>
        </w:rPr>
        <w:lastRenderedPageBreak/>
        <w:t>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4A230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lastRenderedPageBreak/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</w:t>
      </w:r>
      <w:r w:rsidRPr="00C97FBF">
        <w:rPr>
          <w:sz w:val="24"/>
          <w:szCs w:val="24"/>
        </w:rPr>
        <w:lastRenderedPageBreak/>
        <w:t xml:space="preserve">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50518D9" w14:textId="77777777" w:rsidR="009617A6" w:rsidRDefault="009617A6" w:rsidP="0087189A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="00E87D8C" w:rsidRPr="00C37AF3">
        <w:rPr>
          <w:sz w:val="24"/>
          <w:szCs w:val="24"/>
        </w:rPr>
        <w:t xml:space="preserve">, </w:t>
      </w:r>
    </w:p>
    <w:p w14:paraId="31E65CC5" w14:textId="3BAA0816" w:rsidR="00E87D8C" w:rsidRPr="00C37AF3" w:rsidRDefault="00E87D8C" w:rsidP="0087189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6D81B2FA" w14:textId="439BD5E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9617A6">
        <w:rPr>
          <w:sz w:val="24"/>
          <w:szCs w:val="24"/>
        </w:rPr>
        <w:t xml:space="preserve"> </w:t>
      </w:r>
      <w:r w:rsidR="009617A6" w:rsidRPr="00E51483">
        <w:rPr>
          <w:sz w:val="24"/>
          <w:szCs w:val="24"/>
        </w:rPr>
        <w:t>6501306985</w:t>
      </w:r>
      <w:r w:rsidRPr="00C37AF3">
        <w:rPr>
          <w:sz w:val="24"/>
          <w:szCs w:val="24"/>
        </w:rPr>
        <w:t xml:space="preserve">, КПП </w:t>
      </w:r>
      <w:r w:rsidR="009617A6" w:rsidRPr="00E51483">
        <w:rPr>
          <w:sz w:val="24"/>
          <w:szCs w:val="24"/>
        </w:rPr>
        <w:t>650101001</w:t>
      </w:r>
      <w:r w:rsidRPr="00C37AF3">
        <w:rPr>
          <w:sz w:val="24"/>
          <w:szCs w:val="24"/>
        </w:rPr>
        <w:t xml:space="preserve">, ОГРН </w:t>
      </w:r>
      <w:r w:rsidR="009617A6" w:rsidRPr="00E51483">
        <w:rPr>
          <w:sz w:val="24"/>
          <w:szCs w:val="24"/>
        </w:rPr>
        <w:t>1196501007218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617A6" w14:paraId="16B57405" w14:textId="77777777" w:rsidTr="009617A6">
        <w:tc>
          <w:tcPr>
            <w:tcW w:w="5098" w:type="dxa"/>
          </w:tcPr>
          <w:p w14:paraId="4351FB33" w14:textId="500A8F6A" w:rsidR="009617A6" w:rsidRPr="00E51483" w:rsidRDefault="00415B0D" w:rsidP="006D2FB4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DA59C9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земельный участок с кад. номером 65:01:0314001:163</w:t>
            </w:r>
            <w:r w:rsidR="009617A6" w:rsidRPr="00E51483">
              <w:rPr>
                <w:iCs/>
                <w:sz w:val="24"/>
                <w:szCs w:val="24"/>
              </w:rPr>
              <w:t xml:space="preserve">, корпус </w:t>
            </w:r>
            <w:r>
              <w:rPr>
                <w:iCs/>
                <w:sz w:val="24"/>
                <w:szCs w:val="24"/>
              </w:rPr>
              <w:t>19.</w:t>
            </w:r>
            <w:r w:rsidR="00AB67B6">
              <w:rPr>
                <w:iCs/>
                <w:sz w:val="24"/>
                <w:szCs w:val="24"/>
              </w:rPr>
              <w:t>2</w:t>
            </w:r>
          </w:p>
          <w:p w14:paraId="3B1EB562" w14:textId="77777777" w:rsidR="009617A6" w:rsidRDefault="009617A6" w:rsidP="006D2FB4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42152FC" w14:textId="77777777" w:rsidR="009617A6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D7953FB" w14:textId="77777777" w:rsidR="009617A6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22979422" w14:textId="77777777" w:rsidR="009617A6" w:rsidRPr="00B441D9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2C1AAEED" w14:textId="77777777" w:rsidR="009617A6" w:rsidRDefault="009617A6" w:rsidP="006D2FB4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4F6425BA" w:rsidR="00E87D8C" w:rsidRDefault="00AB67B6" w:rsidP="00196FA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1203F8B" wp14:editId="1B0CA6B5">
            <wp:extent cx="4270375" cy="401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9617A6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к Договору участия </w:t>
            </w:r>
            <w:r w:rsidRPr="009617A6">
              <w:rPr>
                <w:sz w:val="24"/>
                <w:szCs w:val="24"/>
              </w:rPr>
              <w:t>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9617A6">
              <w:rPr>
                <w:sz w:val="24"/>
                <w:szCs w:val="24"/>
              </w:rPr>
              <w:t xml:space="preserve">№ ХХХХХ от </w:t>
            </w:r>
            <w:r w:rsidR="009827BF" w:rsidRPr="009617A6">
              <w:rPr>
                <w:bCs/>
                <w:sz w:val="24"/>
                <w:szCs w:val="24"/>
              </w:rPr>
              <w:t>«</w:t>
            </w:r>
            <w:r w:rsidR="009827BF" w:rsidRPr="009617A6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9617A6">
              <w:rPr>
                <w:bCs/>
                <w:sz w:val="24"/>
                <w:szCs w:val="24"/>
              </w:rPr>
              <w:t xml:space="preserve">» </w:t>
            </w:r>
            <w:r w:rsidR="009827BF" w:rsidRPr="009617A6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9617A6">
              <w:rPr>
                <w:bCs/>
                <w:sz w:val="24"/>
                <w:szCs w:val="24"/>
              </w:rPr>
              <w:t xml:space="preserve"> 20___ </w:t>
            </w:r>
            <w:r w:rsidRPr="009617A6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3849" w14:textId="77777777" w:rsidR="0086681D" w:rsidRDefault="0086681D">
      <w:r>
        <w:separator/>
      </w:r>
    </w:p>
  </w:endnote>
  <w:endnote w:type="continuationSeparator" w:id="0">
    <w:p w14:paraId="4A8B77A0" w14:textId="77777777" w:rsidR="0086681D" w:rsidRDefault="0086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A3B4" w14:textId="77777777" w:rsidR="0086681D" w:rsidRDefault="0086681D">
      <w:r>
        <w:separator/>
      </w:r>
    </w:p>
  </w:footnote>
  <w:footnote w:type="continuationSeparator" w:id="0">
    <w:p w14:paraId="3850ECE7" w14:textId="77777777" w:rsidR="0086681D" w:rsidRDefault="0086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2CCC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38AA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425F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15B0D"/>
    <w:rsid w:val="004212FE"/>
    <w:rsid w:val="004224BC"/>
    <w:rsid w:val="004239DF"/>
    <w:rsid w:val="00425B5B"/>
    <w:rsid w:val="00425DB7"/>
    <w:rsid w:val="00425E71"/>
    <w:rsid w:val="00430D67"/>
    <w:rsid w:val="004327B2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048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0F99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5A2A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8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81D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7D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7A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3F6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77C55"/>
    <w:rsid w:val="00A844D7"/>
    <w:rsid w:val="00A85C5A"/>
    <w:rsid w:val="00A85F68"/>
    <w:rsid w:val="00A866C3"/>
    <w:rsid w:val="00A87816"/>
    <w:rsid w:val="00A87B2D"/>
    <w:rsid w:val="00A916E9"/>
    <w:rsid w:val="00A9198C"/>
    <w:rsid w:val="00A92BEA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B67B6"/>
    <w:rsid w:val="00AC0F3A"/>
    <w:rsid w:val="00AC123C"/>
    <w:rsid w:val="00AC1AD9"/>
    <w:rsid w:val="00AC2378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04DF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4E1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6284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173F4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1AE"/>
    <w:rsid w:val="00F623BA"/>
    <w:rsid w:val="00F635A6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2022-06-22T10:19:00Z</dcterms:created>
  <dcterms:modified xsi:type="dcterms:W3CDTF">2023-01-19T12:18:00Z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