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7141B3F0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FC55AF" w:rsidRPr="00EC6C87">
        <w:rPr>
          <w:sz w:val="22"/>
          <w:szCs w:val="22"/>
        </w:rPr>
        <w:t xml:space="preserve">7-9-11-13-15-17-23 переменной этажности </w:t>
      </w:r>
      <w:r w:rsidR="00FC55AF" w:rsidRPr="00EC6C87">
        <w:rPr>
          <w:color w:val="000000"/>
          <w:sz w:val="22"/>
          <w:szCs w:val="22"/>
        </w:rPr>
        <w:t>(+1 подземный этаж)</w:t>
      </w:r>
      <w:r w:rsidR="00FC55AF" w:rsidRPr="00EC6C87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</w:rPr>
        <w:t>1 130-</w:t>
      </w:r>
      <w:r w:rsidR="00FC55AF">
        <w:rPr>
          <w:sz w:val="22"/>
          <w:szCs w:val="22"/>
        </w:rPr>
        <w:t xml:space="preserve">ти </w:t>
      </w:r>
      <w:r w:rsidR="00FC55AF" w:rsidRPr="00FC55AF">
        <w:rPr>
          <w:sz w:val="22"/>
          <w:szCs w:val="22"/>
        </w:rPr>
        <w:t xml:space="preserve">квартирный 18-ти секционный жилой комплекс, с подземной автостоянкой и сопутствующими инфраструктурными объектами (очередь 1, этап 2), общей площадью 78 776,63 </w:t>
      </w:r>
      <w:r w:rsidR="00FC55AF" w:rsidRPr="00FC55AF">
        <w:rPr>
          <w:color w:val="000000"/>
          <w:sz w:val="22"/>
          <w:szCs w:val="22"/>
        </w:rPr>
        <w:t>м</w:t>
      </w:r>
      <w:r w:rsidR="00FC55AF" w:rsidRPr="00FC55AF">
        <w:rPr>
          <w:color w:val="000000"/>
          <w:sz w:val="22"/>
          <w:szCs w:val="22"/>
          <w:vertAlign w:val="superscript"/>
        </w:rPr>
        <w:t>2</w:t>
      </w:r>
      <w:r w:rsidR="00FC55AF" w:rsidRPr="00FC55AF">
        <w:rPr>
          <w:sz w:val="22"/>
          <w:szCs w:val="22"/>
        </w:rPr>
        <w:t>; функциональное назначение дома: жилой;</w:t>
      </w:r>
      <w:r w:rsidR="00FC55AF" w:rsidRPr="0041197A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  <w:lang w:val="x-none"/>
        </w:rPr>
        <w:t xml:space="preserve">материал наружных стен </w:t>
      </w:r>
      <w:r w:rsidR="00FC55AF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FC55AF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FC55AF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FC55AF" w:rsidRPr="0041197A">
        <w:rPr>
          <w:sz w:val="22"/>
          <w:szCs w:val="22"/>
        </w:rPr>
        <w:t>:</w:t>
      </w:r>
      <w:r w:rsidR="00FC55AF" w:rsidRPr="0041197A">
        <w:rPr>
          <w:sz w:val="22"/>
          <w:szCs w:val="22"/>
          <w:lang w:val="x-none"/>
        </w:rPr>
        <w:t xml:space="preserve"> </w:t>
      </w:r>
      <w:r w:rsidR="00FC55AF" w:rsidRPr="0041197A">
        <w:rPr>
          <w:sz w:val="22"/>
          <w:szCs w:val="22"/>
        </w:rPr>
        <w:t>А+,</w:t>
      </w:r>
      <w:r w:rsidR="00FC55AF" w:rsidRPr="0041197A">
        <w:rPr>
          <w:sz w:val="22"/>
          <w:szCs w:val="22"/>
          <w:lang w:val="x-none"/>
        </w:rPr>
        <w:t xml:space="preserve"> строящийся</w:t>
      </w:r>
      <w:r w:rsidR="00FC55AF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FC55AF" w:rsidRPr="0041197A">
        <w:rPr>
          <w:b/>
          <w:sz w:val="22"/>
          <w:szCs w:val="22"/>
        </w:rPr>
        <w:t>-</w:t>
      </w:r>
      <w:r w:rsidR="00FC55AF" w:rsidRPr="0041197A">
        <w:rPr>
          <w:sz w:val="22"/>
          <w:szCs w:val="22"/>
        </w:rPr>
        <w:t>земельном участке</w:t>
      </w:r>
      <w:r w:rsidR="00FC55AF" w:rsidRPr="0041197A">
        <w:rPr>
          <w:sz w:val="22"/>
        </w:rPr>
        <w:t xml:space="preserve"> с кадастровым номером 77:09:0002025:7434</w:t>
      </w:r>
      <w:r w:rsidR="00FC55AF" w:rsidRPr="0041197A">
        <w:rPr>
          <w:sz w:val="22"/>
          <w:szCs w:val="22"/>
        </w:rPr>
        <w:t>, общей площадью 29 326,00 м</w:t>
      </w:r>
      <w:r w:rsidR="00FC55AF" w:rsidRPr="0041197A">
        <w:rPr>
          <w:sz w:val="22"/>
          <w:szCs w:val="22"/>
          <w:vertAlign w:val="superscript"/>
        </w:rPr>
        <w:t>2</w:t>
      </w:r>
      <w:r w:rsidR="00FC55AF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FC55AF" w:rsidRPr="0041197A">
        <w:rPr>
          <w:sz w:val="22"/>
          <w:szCs w:val="22"/>
        </w:rPr>
        <w:t>среднеэтажная</w:t>
      </w:r>
      <w:proofErr w:type="spellEnd"/>
      <w:r w:rsidR="00FC55AF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FC55AF" w:rsidRPr="0041197A">
        <w:rPr>
          <w:sz w:val="22"/>
          <w:szCs w:val="22"/>
        </w:rPr>
        <w:t>выставочно</w:t>
      </w:r>
      <w:proofErr w:type="spellEnd"/>
      <w:r w:rsidR="00FC55AF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FC55AF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sz w:val="22"/>
        </w:rPr>
        <w:t>Дегунино</w:t>
      </w:r>
      <w:proofErr w:type="spellEnd"/>
      <w:r w:rsidR="00FC55AF" w:rsidRPr="0041197A">
        <w:rPr>
          <w:sz w:val="22"/>
        </w:rPr>
        <w:t xml:space="preserve">, проезд </w:t>
      </w:r>
      <w:proofErr w:type="spellStart"/>
      <w:r w:rsidR="00FC55AF" w:rsidRPr="0041197A">
        <w:rPr>
          <w:sz w:val="22"/>
        </w:rPr>
        <w:t>Ильменский</w:t>
      </w:r>
      <w:proofErr w:type="spellEnd"/>
      <w:r w:rsidR="00FC55AF" w:rsidRPr="0041197A">
        <w:rPr>
          <w:sz w:val="22"/>
        </w:rPr>
        <w:t>, земельный участок 4/1,</w:t>
      </w:r>
      <w:r w:rsidR="00FC55AF" w:rsidRPr="0041197A">
        <w:rPr>
          <w:sz w:val="22"/>
          <w:szCs w:val="22"/>
        </w:rPr>
        <w:t xml:space="preserve"> и выполнением работ по б</w:t>
      </w:r>
      <w:r w:rsidR="00FC55AF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FC55AF" w:rsidRPr="0041197A">
        <w:rPr>
          <w:color w:val="000000"/>
          <w:sz w:val="22"/>
          <w:szCs w:val="22"/>
          <w:vertAlign w:val="superscript"/>
        </w:rPr>
        <w:t>2</w:t>
      </w:r>
      <w:r w:rsidR="00FC55AF" w:rsidRPr="0041197A">
        <w:rPr>
          <w:color w:val="000000"/>
          <w:sz w:val="22"/>
          <w:szCs w:val="22"/>
        </w:rPr>
        <w:t xml:space="preserve">, </w:t>
      </w:r>
      <w:r w:rsidR="00FC55AF" w:rsidRPr="0041197A">
        <w:rPr>
          <w:sz w:val="22"/>
          <w:szCs w:val="22"/>
        </w:rPr>
        <w:t xml:space="preserve">категория земель: «земли населенных пунктов», </w:t>
      </w:r>
      <w:r w:rsidR="00FC55AF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FC55AF" w:rsidRPr="0041197A">
        <w:rPr>
          <w:color w:val="000000"/>
          <w:sz w:val="22"/>
          <w:szCs w:val="22"/>
        </w:rPr>
        <w:t>использ</w:t>
      </w:r>
      <w:r w:rsidR="00FC55AF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:</w:t>
      </w:r>
      <w:r w:rsidR="00FC55AF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FC55AF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FC55AF" w:rsidRPr="0041197A">
        <w:rPr>
          <w:color w:val="000000"/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38BEF2D5" w:rsidR="0032266D" w:rsidRPr="00FC55AF" w:rsidRDefault="00FC55AF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Секция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>(без уче</w:t>
            </w:r>
            <w:r w:rsidR="006672FC" w:rsidRPr="00FC55AF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FC55AF">
              <w:rPr>
                <w:b/>
                <w:sz w:val="16"/>
                <w:szCs w:val="16"/>
              </w:rPr>
              <w:t xml:space="preserve">коэффициента),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FC55AF">
              <w:rPr>
                <w:b/>
                <w:sz w:val="16"/>
                <w:szCs w:val="16"/>
              </w:rPr>
              <w:t>,</w:t>
            </w:r>
            <w:r w:rsidR="00F754C6" w:rsidRPr="00FC55AF">
              <w:rPr>
                <w:b/>
                <w:sz w:val="16"/>
                <w:szCs w:val="16"/>
              </w:rPr>
              <w:t xml:space="preserve"> </w:t>
            </w:r>
            <w:r w:rsidR="006672FC"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1DFC9960" w:rsidR="00D63BD3" w:rsidRDefault="00D63BD3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75C916CD" w14:textId="4DD130C4" w:rsidR="005954BF" w:rsidRPr="005954BF" w:rsidRDefault="005954BF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b/>
          <w:color w:val="FF0000"/>
          <w:sz w:val="22"/>
          <w:szCs w:val="22"/>
          <w:lang w:val="ru-RU"/>
        </w:rPr>
      </w:pPr>
      <w:r w:rsidRPr="005954BF">
        <w:rPr>
          <w:b/>
          <w:color w:val="FF0000"/>
          <w:sz w:val="22"/>
          <w:szCs w:val="22"/>
          <w:lang w:val="ru-RU"/>
        </w:rPr>
        <w:t>Для квартир без отделки:</w:t>
      </w:r>
    </w:p>
    <w:p w14:paraId="5683CE85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(Квартира) </w:t>
      </w:r>
      <w:r w:rsidRPr="003A0E75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A0E75">
        <w:rPr>
          <w:rFonts w:eastAsia="Calibri"/>
          <w:sz w:val="22"/>
          <w:szCs w:val="22"/>
          <w:lang w:eastAsia="en-US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3F33EC66" w14:textId="71539174" w:rsidR="00FC55AF" w:rsidRPr="008A55E5" w:rsidRDefault="008A55E5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val="en-US" w:eastAsia="en-US"/>
        </w:rPr>
      </w:pPr>
      <w:r w:rsidRPr="008A55E5">
        <w:rPr>
          <w:rFonts w:eastAsia="Calibri"/>
          <w:sz w:val="22"/>
          <w:szCs w:val="22"/>
          <w:highlight w:val="cyan"/>
          <w:lang w:val="en-US" w:eastAsia="en-US"/>
        </w:rPr>
        <w:t>XXXX</w:t>
      </w:r>
    </w:p>
    <w:p w14:paraId="3F8CBA63" w14:textId="4600EBC8" w:rsidR="00F75263" w:rsidRPr="00F75263" w:rsidRDefault="00FC55AF" w:rsidP="00FC55AF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3A0E75">
        <w:rPr>
          <w:rFonts w:eastAsia="Calibri"/>
          <w:sz w:val="22"/>
          <w:szCs w:val="22"/>
          <w:lang w:eastAsia="en-US"/>
        </w:rPr>
        <w:lastRenderedPageBreak/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6D48BFD1" w14:textId="1281246D" w:rsidR="005954BF" w:rsidRPr="005954BF" w:rsidRDefault="005954BF" w:rsidP="00F75263">
      <w:pPr>
        <w:tabs>
          <w:tab w:val="left" w:pos="1134"/>
        </w:tabs>
        <w:ind w:firstLine="540"/>
        <w:jc w:val="both"/>
        <w:rPr>
          <w:rFonts w:eastAsia="Calibri"/>
          <w:b/>
          <w:sz w:val="22"/>
          <w:szCs w:val="22"/>
        </w:rPr>
      </w:pPr>
      <w:r w:rsidRPr="005954BF">
        <w:rPr>
          <w:rFonts w:eastAsia="Calibri"/>
          <w:b/>
          <w:color w:val="FF0000"/>
          <w:sz w:val="22"/>
          <w:szCs w:val="22"/>
        </w:rPr>
        <w:t>Для квартир с отделкой:</w:t>
      </w:r>
    </w:p>
    <w:p w14:paraId="7F515E7A" w14:textId="77777777" w:rsidR="008A55E5" w:rsidRDefault="008A55E5" w:rsidP="005954BF">
      <w:pPr>
        <w:tabs>
          <w:tab w:val="left" w:pos="1134"/>
        </w:tabs>
        <w:ind w:firstLine="540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8A55E5">
        <w:rPr>
          <w:sz w:val="22"/>
          <w:szCs w:val="22"/>
          <w:highlight w:val="cyan"/>
          <w:lang w:val="en-US"/>
        </w:rPr>
        <w:t>XXXX</w:t>
      </w:r>
    </w:p>
    <w:p w14:paraId="5858B79D" w14:textId="6FA26B60" w:rsidR="005954BF" w:rsidRPr="005954BF" w:rsidRDefault="005954BF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954BF">
        <w:rPr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5E88E34A" w14:textId="77777777" w:rsidR="005954BF" w:rsidRPr="005954BF" w:rsidRDefault="005954BF" w:rsidP="005954BF">
      <w:pPr>
        <w:tabs>
          <w:tab w:val="left" w:pos="1134"/>
        </w:tabs>
        <w:ind w:firstLine="540"/>
        <w:jc w:val="both"/>
        <w:rPr>
          <w:bCs/>
          <w:sz w:val="22"/>
          <w:szCs w:val="22"/>
        </w:rPr>
      </w:pPr>
      <w:r w:rsidRPr="005954BF">
        <w:rPr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1AF3B55B" w14:textId="4484853E" w:rsidR="005954BF" w:rsidRPr="00555849" w:rsidRDefault="005954BF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954BF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5954BF">
        <w:rPr>
          <w:b/>
          <w:bCs/>
          <w:sz w:val="22"/>
          <w:szCs w:val="22"/>
        </w:rPr>
        <w:t>«проектная документация»</w:t>
      </w:r>
      <w:r w:rsidRPr="005954BF">
        <w:rPr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lastRenderedPageBreak/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1ECF72D" w14:textId="08D64BAC" w:rsidR="00FC55A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6AD34FF6" w14:textId="77777777" w:rsidR="00FC55AF" w:rsidRPr="004E227E" w:rsidRDefault="00FC55AF" w:rsidP="00FC55AF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47AF8FAC" w:rsidR="00EB73F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lastRenderedPageBreak/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0BE0A89C" w:rsidR="00474C18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r w:rsidRPr="0088157C">
        <w:rPr>
          <w:sz w:val="22"/>
          <w:szCs w:val="22"/>
        </w:rPr>
        <w:lastRenderedPageBreak/>
        <w:t xml:space="preserve">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b/>
          <w:sz w:val="22"/>
          <w:szCs w:val="22"/>
        </w:rPr>
        <w:t>4.2.1.</w:t>
      </w:r>
      <w:r w:rsidRPr="00FC55AF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FC55A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FC55AF">
        <w:rPr>
          <w:sz w:val="22"/>
          <w:szCs w:val="22"/>
        </w:rPr>
        <w:t>;</w:t>
      </w:r>
    </w:p>
    <w:p w14:paraId="08CC27CF" w14:textId="478D2281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местонахождение и адрес: </w:t>
      </w:r>
      <w:r w:rsidR="00795541" w:rsidRPr="00FC55AF">
        <w:rPr>
          <w:color w:val="212121"/>
          <w:sz w:val="22"/>
          <w:szCs w:val="22"/>
        </w:rPr>
        <w:t>г. Москва; адрес: 117997, г. Москва, ул. Вавилова, д. 19</w:t>
      </w:r>
      <w:r w:rsidRPr="00FC55AF">
        <w:rPr>
          <w:sz w:val="22"/>
          <w:szCs w:val="22"/>
        </w:rPr>
        <w:t>;</w:t>
      </w:r>
    </w:p>
    <w:p w14:paraId="1B1FE028" w14:textId="5063DDF5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FC55AF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FC55AF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номер телефона: </w:t>
      </w:r>
      <w:r w:rsidR="007C563E" w:rsidRPr="00FC55AF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FC55AF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FC55AF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 xml:space="preserve">. При этом изменение размера общей площади </w:t>
      </w:r>
      <w:r w:rsidRPr="00CB33CA">
        <w:rPr>
          <w:sz w:val="22"/>
          <w:szCs w:val="22"/>
        </w:rPr>
        <w:lastRenderedPageBreak/>
        <w:t>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lastRenderedPageBreak/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 xml:space="preserve">, в том числе объектов социальной инфраструктуры, магистральных инженерных сетей и сооружений и т.д., предусмотренных утвержденным проектом </w:t>
      </w:r>
      <w:r w:rsidR="00EB73FF" w:rsidRPr="004E227E">
        <w:rPr>
          <w:sz w:val="22"/>
          <w:szCs w:val="22"/>
        </w:rPr>
        <w:lastRenderedPageBreak/>
        <w:t>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</w:t>
      </w:r>
      <w:r w:rsidR="0045328F" w:rsidRPr="00091BF0">
        <w:rPr>
          <w:sz w:val="22"/>
          <w:szCs w:val="22"/>
        </w:rPr>
        <w:lastRenderedPageBreak/>
        <w:t>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3AE98D30" w14:textId="77777777" w:rsidR="00FC55AF" w:rsidRPr="006B22EC" w:rsidRDefault="00FC55AF" w:rsidP="00FC55AF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CDA44A7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8888D1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2CF5A513" w14:textId="77777777" w:rsidR="00FC55AF" w:rsidRPr="00091BF0" w:rsidRDefault="00FC55AF" w:rsidP="00FC55AF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66CA9A00" w14:textId="77777777" w:rsidR="00FC55AF" w:rsidRPr="00091BF0" w:rsidRDefault="00FC55AF" w:rsidP="00FC55AF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0582D283" w14:textId="77777777" w:rsidR="00FC55AF" w:rsidRPr="00091BF0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5942B8C4" w14:textId="06D29D45" w:rsidR="00EB73FF" w:rsidRPr="004E227E" w:rsidRDefault="00FC55AF" w:rsidP="00FC55AF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1D855D3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FC55AF">
        <w:rPr>
          <w:b/>
          <w:color w:val="000000"/>
          <w:sz w:val="22"/>
          <w:szCs w:val="22"/>
        </w:rPr>
        <w:t xml:space="preserve">Схема дома </w:t>
      </w:r>
      <w:r w:rsidR="00147472" w:rsidRPr="00FC55AF">
        <w:rPr>
          <w:b/>
          <w:color w:val="000000"/>
          <w:sz w:val="22"/>
          <w:szCs w:val="22"/>
        </w:rPr>
        <w:t>–</w:t>
      </w:r>
      <w:r w:rsidR="000D225C" w:rsidRPr="00FC55AF">
        <w:rPr>
          <w:b/>
          <w:color w:val="000000"/>
          <w:sz w:val="22"/>
          <w:szCs w:val="22"/>
        </w:rPr>
        <w:t xml:space="preserve"> </w:t>
      </w:r>
      <w:r w:rsidR="00FC55AF" w:rsidRPr="00E5238C">
        <w:rPr>
          <w:b/>
          <w:sz w:val="22"/>
          <w:szCs w:val="22"/>
          <w:highlight w:val="cyan"/>
        </w:rPr>
        <w:t>Секция</w:t>
      </w:r>
      <w:r w:rsidR="00C92233" w:rsidRPr="00B56B38">
        <w:rPr>
          <w:b/>
          <w:sz w:val="22"/>
          <w:szCs w:val="22"/>
        </w:rPr>
        <w:t xml:space="preserve">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8A55E5">
      <w:rPr>
        <w:noProof/>
        <w:sz w:val="18"/>
      </w:rPr>
      <w:t>4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278E5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954BF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55E5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C55AF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28EF-CEDC-44C2-B1B1-4443E3C0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5871</Words>
  <Characters>43942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49714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18</cp:revision>
  <cp:lastPrinted>2022-07-25T06:54:00Z</cp:lastPrinted>
  <dcterms:created xsi:type="dcterms:W3CDTF">2022-07-25T09:13:00Z</dcterms:created>
  <dcterms:modified xsi:type="dcterms:W3CDTF">2023-04-03T08:11:00Z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