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3C96043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716453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5DAF22C" w:rsidR="00F336F2" w:rsidRDefault="0071645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6A6AA0F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</w:t>
      </w:r>
      <w:proofErr w:type="gramStart"/>
      <w:r w:rsidRPr="00F336F2">
        <w:rPr>
          <w:iCs/>
          <w:sz w:val="24"/>
          <w:szCs w:val="24"/>
        </w:rPr>
        <w:t>– </w:t>
      </w:r>
      <w:r w:rsidR="006C0430" w:rsidRPr="00F336F2">
        <w:rPr>
          <w:iCs/>
          <w:sz w:val="24"/>
          <w:szCs w:val="24"/>
        </w:rPr>
        <w:t> </w:t>
      </w:r>
      <w:r w:rsidR="00716453" w:rsidRPr="00252A2D">
        <w:rPr>
          <w:iCs/>
          <w:sz w:val="24"/>
          <w:szCs w:val="24"/>
        </w:rPr>
        <w:t>Объект</w:t>
      </w:r>
      <w:proofErr w:type="gramEnd"/>
      <w:r w:rsidR="00716453" w:rsidRPr="00252A2D">
        <w:rPr>
          <w:iCs/>
          <w:sz w:val="24"/>
          <w:szCs w:val="24"/>
        </w:rPr>
        <w:t xml:space="preserve"> недвижимости – «Комплексная жилая застройка с объектами социальной и инженерной инфраструктуры по адресу: Республика Татарстан, </w:t>
      </w:r>
      <w:proofErr w:type="spellStart"/>
      <w:r w:rsidR="00716453" w:rsidRPr="00252A2D">
        <w:rPr>
          <w:iCs/>
          <w:sz w:val="24"/>
          <w:szCs w:val="24"/>
        </w:rPr>
        <w:t>г.Казань</w:t>
      </w:r>
      <w:proofErr w:type="spellEnd"/>
      <w:r w:rsidR="00716453" w:rsidRPr="00252A2D">
        <w:rPr>
          <w:iCs/>
          <w:sz w:val="24"/>
          <w:szCs w:val="24"/>
        </w:rPr>
        <w:t xml:space="preserve">, Советский район, ул. </w:t>
      </w:r>
      <w:proofErr w:type="spellStart"/>
      <w:r w:rsidR="00716453" w:rsidRPr="00252A2D">
        <w:rPr>
          <w:iCs/>
          <w:sz w:val="24"/>
          <w:szCs w:val="24"/>
        </w:rPr>
        <w:t>Халитова</w:t>
      </w:r>
      <w:proofErr w:type="spellEnd"/>
      <w:r w:rsidR="00716453" w:rsidRPr="00252A2D">
        <w:rPr>
          <w:iCs/>
          <w:sz w:val="24"/>
          <w:szCs w:val="24"/>
        </w:rPr>
        <w:t xml:space="preserve">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В;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716453" w:rsidRPr="00252A2D">
        <w:rPr>
          <w:b/>
          <w:bCs/>
          <w:iCs/>
          <w:sz w:val="24"/>
          <w:szCs w:val="24"/>
        </w:rPr>
        <w:t xml:space="preserve">Республика Татарстан, г. Казань, Советский район, ул. </w:t>
      </w:r>
      <w:proofErr w:type="spellStart"/>
      <w:r w:rsidR="00716453" w:rsidRPr="00252A2D">
        <w:rPr>
          <w:b/>
          <w:bCs/>
          <w:iCs/>
          <w:sz w:val="24"/>
          <w:szCs w:val="24"/>
        </w:rPr>
        <w:t>Хал</w:t>
      </w:r>
      <w:r w:rsidR="00716453" w:rsidRPr="00716453">
        <w:rPr>
          <w:b/>
          <w:bCs/>
          <w:iCs/>
          <w:sz w:val="24"/>
          <w:szCs w:val="24"/>
        </w:rPr>
        <w:t>итова</w:t>
      </w:r>
      <w:proofErr w:type="spellEnd"/>
      <w:r w:rsidR="00F336F2" w:rsidRPr="0071645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8DB1B6F" w14:textId="77777777" w:rsidR="00716453" w:rsidRPr="00716453" w:rsidRDefault="00716453" w:rsidP="00716453">
      <w:pPr>
        <w:pStyle w:val="aff3"/>
        <w:ind w:left="709"/>
        <w:rPr>
          <w:sz w:val="24"/>
          <w:szCs w:val="24"/>
        </w:rPr>
      </w:pPr>
      <w:r w:rsidRPr="00716453">
        <w:rPr>
          <w:sz w:val="24"/>
          <w:szCs w:val="24"/>
        </w:rPr>
        <w:t xml:space="preserve"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</w:t>
      </w:r>
      <w:r w:rsidRPr="00716453">
        <w:rPr>
          <w:sz w:val="24"/>
          <w:szCs w:val="24"/>
        </w:rPr>
        <w:lastRenderedPageBreak/>
        <w:t xml:space="preserve">- за номером регистрации 16:50:050202:736-16/203/2021-3 от 15.12.2021),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</w:t>
      </w:r>
      <w:proofErr w:type="spellStart"/>
      <w:r w:rsidRPr="00716453">
        <w:rPr>
          <w:sz w:val="24"/>
          <w:szCs w:val="24"/>
        </w:rPr>
        <w:t>Халитова</w:t>
      </w:r>
      <w:proofErr w:type="spellEnd"/>
      <w:r w:rsidRPr="00716453">
        <w:rPr>
          <w:sz w:val="24"/>
          <w:szCs w:val="24"/>
        </w:rPr>
        <w:t>.</w:t>
      </w:r>
    </w:p>
    <w:p w14:paraId="38694436" w14:textId="77777777" w:rsidR="00716453" w:rsidRDefault="00716453" w:rsidP="00716453">
      <w:pPr>
        <w:pStyle w:val="aff3"/>
        <w:ind w:left="709"/>
        <w:rPr>
          <w:sz w:val="24"/>
          <w:szCs w:val="24"/>
        </w:rPr>
      </w:pPr>
      <w:r w:rsidRPr="00716453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1070BB05" w14:textId="4C0A0B88" w:rsidR="001C4B8A" w:rsidRPr="00643720" w:rsidRDefault="00F336F2" w:rsidP="0071645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-агент»), не </w:t>
      </w:r>
      <w:r w:rsidRPr="0034789C">
        <w:rPr>
          <w:sz w:val="24"/>
          <w:szCs w:val="24"/>
        </w:rPr>
        <w:lastRenderedPageBreak/>
        <w:t>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45F011D6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>-</w:t>
      </w:r>
      <w:r w:rsidR="00716453">
        <w:rPr>
          <w:iCs/>
          <w:sz w:val="24"/>
          <w:szCs w:val="24"/>
        </w:rPr>
        <w:t xml:space="preserve"> 01.07.2025</w:t>
      </w:r>
      <w:r w:rsidR="00D43A53">
        <w:rPr>
          <w:iCs/>
          <w:sz w:val="24"/>
          <w:szCs w:val="24"/>
        </w:rPr>
        <w:t xml:space="preserve">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69A04E7D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716453">
        <w:rPr>
          <w:iCs/>
          <w:sz w:val="24"/>
          <w:szCs w:val="24"/>
        </w:rPr>
        <w:t>30.08.2025</w:t>
      </w:r>
      <w:r w:rsidR="008E3792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lastRenderedPageBreak/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040C6943" w:rsidR="00F336F2" w:rsidRPr="00C37AF3" w:rsidRDefault="00716453" w:rsidP="000373F1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"МТ-ДЕВЕЛОПМЕНТ"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Адрес: ХХХХХ</w:t>
      </w:r>
    </w:p>
    <w:p w14:paraId="45E02072" w14:textId="575D4626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716453" w:rsidRPr="00252A2D">
        <w:rPr>
          <w:sz w:val="24"/>
          <w:szCs w:val="24"/>
        </w:rPr>
        <w:t>1660363355</w:t>
      </w:r>
      <w:r w:rsidRPr="00C37AF3">
        <w:rPr>
          <w:sz w:val="24"/>
          <w:szCs w:val="24"/>
        </w:rPr>
        <w:t>, КПП</w:t>
      </w:r>
      <w:r w:rsidR="00716453">
        <w:rPr>
          <w:sz w:val="24"/>
          <w:szCs w:val="24"/>
        </w:rPr>
        <w:t xml:space="preserve"> </w:t>
      </w:r>
      <w:r w:rsidR="00716453" w:rsidRPr="00252A2D">
        <w:rPr>
          <w:sz w:val="24"/>
          <w:szCs w:val="24"/>
        </w:rPr>
        <w:t>166001001</w:t>
      </w:r>
      <w:r w:rsidRPr="00C37AF3">
        <w:rPr>
          <w:sz w:val="24"/>
          <w:szCs w:val="24"/>
        </w:rPr>
        <w:t xml:space="preserve">, ОГРН </w:t>
      </w:r>
      <w:r w:rsidR="00716453" w:rsidRPr="00252A2D">
        <w:rPr>
          <w:sz w:val="24"/>
          <w:szCs w:val="24"/>
        </w:rPr>
        <w:t>1211600036361</w:t>
      </w:r>
      <w:r w:rsidR="00716453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C33827" w14:paraId="1A105DBD" w14:textId="77777777" w:rsidTr="00DD2351">
        <w:tc>
          <w:tcPr>
            <w:tcW w:w="5098" w:type="dxa"/>
          </w:tcPr>
          <w:p w14:paraId="7617630D" w14:textId="77777777" w:rsidR="00C33827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7A3FEFEA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 xml:space="preserve">Советский район, ул. </w:t>
            </w:r>
            <w:proofErr w:type="spellStart"/>
            <w:r w:rsidRPr="00252A2D">
              <w:rPr>
                <w:sz w:val="24"/>
                <w:szCs w:val="24"/>
              </w:rPr>
              <w:t>Халитова</w:t>
            </w:r>
            <w:proofErr w:type="spellEnd"/>
          </w:p>
          <w:p w14:paraId="01E3F081" w14:textId="77777777" w:rsidR="00C33827" w:rsidRDefault="00C33827" w:rsidP="00DD2351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08E2828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08A74F38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596C2CE" w14:textId="77777777" w:rsidR="00C33827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3BC19CC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2369374" w14:textId="77777777" w:rsidR="00C33827" w:rsidRPr="00B441D9" w:rsidRDefault="00C33827" w:rsidP="00DD2351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252A2D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252A2D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2C3BC02" w14:textId="77777777" w:rsidR="00C33827" w:rsidRDefault="00C33827" w:rsidP="00DD2351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00E8DA4E" w14:textId="77777777" w:rsidR="00C33827" w:rsidRPr="00B441D9" w:rsidRDefault="00C33827" w:rsidP="00C33827">
      <w:pPr>
        <w:tabs>
          <w:tab w:val="left" w:pos="4253"/>
        </w:tabs>
        <w:rPr>
          <w:b/>
          <w:sz w:val="24"/>
          <w:szCs w:val="24"/>
        </w:rPr>
      </w:pPr>
    </w:p>
    <w:p w14:paraId="000B901F" w14:textId="77777777" w:rsidR="00C33827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6A4A81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  <w:r w:rsidRPr="00252A2D">
        <w:rPr>
          <w:b/>
          <w:sz w:val="24"/>
          <w:szCs w:val="24"/>
          <w:highlight w:val="yellow"/>
        </w:rPr>
        <w:t>План</w:t>
      </w:r>
    </w:p>
    <w:p w14:paraId="05D0590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4F30089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9684FB4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1C66E4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480807D" w14:textId="77777777" w:rsidR="00C33827" w:rsidRPr="00B441D9" w:rsidRDefault="00C33827" w:rsidP="00C33827">
      <w:pPr>
        <w:tabs>
          <w:tab w:val="left" w:pos="4253"/>
        </w:tabs>
        <w:jc w:val="both"/>
        <w:rPr>
          <w:sz w:val="24"/>
          <w:szCs w:val="24"/>
        </w:rPr>
      </w:pPr>
    </w:p>
    <w:p w14:paraId="10CE2330" w14:textId="77777777" w:rsidR="00C33827" w:rsidRDefault="00C33827" w:rsidP="00C33827">
      <w:pPr>
        <w:tabs>
          <w:tab w:val="left" w:pos="4253"/>
        </w:tabs>
        <w:ind w:firstLine="1276"/>
        <w:jc w:val="both"/>
      </w:pPr>
      <w:r>
        <w:tab/>
      </w:r>
    </w:p>
    <w:p w14:paraId="673C6BC9" w14:textId="77777777" w:rsidR="00C33827" w:rsidRDefault="00C33827" w:rsidP="00C33827">
      <w:pPr>
        <w:tabs>
          <w:tab w:val="left" w:pos="4253"/>
        </w:tabs>
        <w:ind w:firstLine="1276"/>
        <w:jc w:val="both"/>
      </w:pPr>
    </w:p>
    <w:p w14:paraId="13FFEB91" w14:textId="77777777" w:rsidR="00C33827" w:rsidRDefault="00C33827" w:rsidP="00C33827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3827" w:rsidRPr="005A66D2" w14:paraId="417D8944" w14:textId="77777777" w:rsidTr="00DD2351">
        <w:tc>
          <w:tcPr>
            <w:tcW w:w="5103" w:type="dxa"/>
          </w:tcPr>
          <w:p w14:paraId="5BFCE294" w14:textId="77777777" w:rsidR="00C33827" w:rsidRPr="000928BE" w:rsidRDefault="00C33827" w:rsidP="00DD2351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0F8D3DDB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88AB83A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CCA4F5B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8531812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66CF455A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38A46D3B" w14:textId="77777777" w:rsidR="00C33827" w:rsidRPr="000928BE" w:rsidRDefault="00C33827" w:rsidP="00DD2351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16FF3A9E" w14:textId="77777777" w:rsidR="00C33827" w:rsidRPr="000928BE" w:rsidRDefault="00C33827" w:rsidP="00DD23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8786C21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ED918B0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94E498" w14:textId="77777777" w:rsidR="00C33827" w:rsidRPr="000928BE" w:rsidRDefault="00C33827" w:rsidP="00DD2351">
            <w:pPr>
              <w:rPr>
                <w:bCs/>
                <w:sz w:val="24"/>
                <w:szCs w:val="24"/>
              </w:rPr>
            </w:pPr>
          </w:p>
          <w:p w14:paraId="301247BA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3827" w:rsidRPr="005A66D2" w14:paraId="33C1EEB4" w14:textId="77777777" w:rsidTr="00DD2351">
              <w:tc>
                <w:tcPr>
                  <w:tcW w:w="4423" w:type="dxa"/>
                </w:tcPr>
                <w:p w14:paraId="4856805D" w14:textId="77777777" w:rsidR="00C33827" w:rsidRPr="000928BE" w:rsidRDefault="00C33827" w:rsidP="00DD23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98748CD" w14:textId="77777777" w:rsidR="00C33827" w:rsidRPr="000928BE" w:rsidRDefault="00C33827" w:rsidP="00DD23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600B239" w14:textId="77777777" w:rsidR="00C33827" w:rsidRPr="005A66D2" w:rsidRDefault="00C33827" w:rsidP="00DD23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1EF397F" w14:textId="77777777" w:rsidR="00C33827" w:rsidRPr="005A66D2" w:rsidRDefault="00C33827" w:rsidP="00DD23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A6B4" w14:textId="77777777" w:rsidR="00DA362D" w:rsidRDefault="00DA362D">
      <w:r>
        <w:separator/>
      </w:r>
    </w:p>
  </w:endnote>
  <w:endnote w:type="continuationSeparator" w:id="0">
    <w:p w14:paraId="4ED3C85C" w14:textId="77777777" w:rsidR="00DA362D" w:rsidRDefault="00D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B231" w14:textId="77777777" w:rsidR="00DA362D" w:rsidRDefault="00DA362D">
      <w:r>
        <w:separator/>
      </w:r>
    </w:p>
  </w:footnote>
  <w:footnote w:type="continuationSeparator" w:id="0">
    <w:p w14:paraId="3EF56531" w14:textId="77777777" w:rsidR="00DA362D" w:rsidRDefault="00DA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16DF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6453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23B7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3827"/>
    <w:rsid w:val="00C35CEB"/>
    <w:rsid w:val="00C36688"/>
    <w:rsid w:val="00C36F43"/>
    <w:rsid w:val="00C37A66"/>
    <w:rsid w:val="00C409E4"/>
    <w:rsid w:val="00C413CE"/>
    <w:rsid w:val="00C4153A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62D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4</cp:revision>
  <cp:lastPrinted>2017-02-27T11:20:00Z</cp:lastPrinted>
  <dcterms:created xsi:type="dcterms:W3CDTF">2022-09-04T08:07:00Z</dcterms:created>
  <dcterms:modified xsi:type="dcterms:W3CDTF">2022-09-04T08:36:00Z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