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proofErr w:type="spellStart"/>
            <w:r w:rsidRPr="00BF24E7">
              <w:rPr>
                <w:sz w:val="24"/>
                <w:szCs w:val="24"/>
              </w:rPr>
              <w:t>ДатаДоговора</w:t>
            </w:r>
            <w:proofErr w:type="spellEnd"/>
          </w:p>
        </w:tc>
      </w:tr>
    </w:tbl>
    <w:p w:rsidR="005E23AE" w:rsidRPr="00BF24E7" w:rsidRDefault="005E23AE" w:rsidP="005E23AE">
      <w:pPr>
        <w:rPr>
          <w:rFonts w:cs="Times New Roman"/>
          <w:szCs w:val="24"/>
        </w:rPr>
      </w:pPr>
    </w:p>
    <w:p w:rsidR="005E23AE" w:rsidRDefault="003B158E" w:rsidP="005E23AE">
      <w:pPr>
        <w:ind w:firstLine="709"/>
        <w:jc w:val="both"/>
        <w:rPr>
          <w:rFonts w:cs="Times New Roman"/>
          <w:szCs w:val="24"/>
        </w:rPr>
      </w:pPr>
      <w:r>
        <w:rPr>
          <w:rFonts w:cs="Times New Roman"/>
          <w:b/>
        </w:rPr>
        <w:t>Общество с ограниченной ответственностью «Специализированный застройщик «Флагман»</w:t>
      </w:r>
      <w:r w:rsidRPr="001D4E8E">
        <w:rPr>
          <w:rFonts w:cs="Times New Roman"/>
          <w:szCs w:val="24"/>
        </w:rPr>
        <w:t xml:space="preserve">, ОГРН 1047796309527, </w:t>
      </w:r>
      <w:r w:rsidR="005E23AE" w:rsidRPr="00BF24E7">
        <w:rPr>
          <w:rFonts w:cs="Times New Roman"/>
          <w:szCs w:val="24"/>
        </w:rPr>
        <w:t xml:space="preserve">именуемое в дальнейшем </w:t>
      </w:r>
      <w:r w:rsidR="005E23AE" w:rsidRPr="00BF24E7">
        <w:rPr>
          <w:rFonts w:cs="Times New Roman"/>
          <w:b/>
          <w:szCs w:val="24"/>
        </w:rPr>
        <w:t>Застройщик</w:t>
      </w:r>
      <w:r w:rsidR="005E23AE" w:rsidRPr="00BF24E7">
        <w:rPr>
          <w:rFonts w:cs="Times New Roman"/>
          <w:szCs w:val="24"/>
        </w:rPr>
        <w:t xml:space="preserve">, в лице </w:t>
      </w:r>
      <w:r w:rsidR="005E23AE">
        <w:rPr>
          <w:rFonts w:cs="Times New Roman"/>
          <w:szCs w:val="24"/>
        </w:rPr>
        <w:t>____________</w:t>
      </w:r>
      <w:r w:rsidR="005E23AE" w:rsidRPr="00BF24E7">
        <w:rPr>
          <w:rFonts w:cs="Times New Roman"/>
          <w:szCs w:val="24"/>
        </w:rPr>
        <w:t xml:space="preserve">, действующего на основании </w:t>
      </w:r>
      <w:r w:rsidR="005E23AE">
        <w:rPr>
          <w:rFonts w:cs="Times New Roman"/>
          <w:szCs w:val="24"/>
        </w:rPr>
        <w:t>___________</w:t>
      </w:r>
      <w:r w:rsidR="005E23AE" w:rsidRPr="00BF24E7">
        <w:rPr>
          <w:rFonts w:cs="Times New Roman"/>
          <w:szCs w:val="24"/>
        </w:rPr>
        <w:t>, с одной стороны</w:t>
      </w:r>
      <w:r w:rsidR="005E23AE">
        <w:rPr>
          <w:rFonts w:cs="Times New Roman"/>
          <w:szCs w:val="24"/>
        </w:rPr>
        <w:t>,</w:t>
      </w:r>
      <w:r w:rsidR="005E23AE" w:rsidRPr="00BF24E7">
        <w:rPr>
          <w:rFonts w:cs="Times New Roman"/>
          <w:szCs w:val="24"/>
        </w:rPr>
        <w:t xml:space="preserve"> и</w:t>
      </w:r>
    </w:p>
    <w:p w:rsidR="005E23AE" w:rsidRPr="00BF24E7" w:rsidRDefault="005E23AE" w:rsidP="005E23A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3B158E" w:rsidRPr="001D4E8E">
        <w:rPr>
          <w:rFonts w:eastAsia="Calibri" w:cs="Times New Roman"/>
          <w:iCs/>
          <w:color w:val="000000"/>
          <w:szCs w:val="24"/>
        </w:rPr>
        <w:t xml:space="preserve">Многоквартирный жилой дом корп. 21 с инженерными сетями; вид: многоквартирный дом; назначение: жилое;  количество этажей: 12-15-16 (11-14-15+1 подземный); адрес (местоположение): обл. Московская, р-н Пушкинский, в районе микрорайона Новая Деревня г. Пушкино, общая площадь: 30839,58 </w:t>
      </w:r>
      <w:proofErr w:type="spellStart"/>
      <w:r w:rsidR="003B158E" w:rsidRPr="001D4E8E">
        <w:rPr>
          <w:rFonts w:eastAsia="Calibri" w:cs="Times New Roman"/>
          <w:iCs/>
          <w:color w:val="000000"/>
          <w:szCs w:val="24"/>
        </w:rPr>
        <w:t>кв.м</w:t>
      </w:r>
      <w:proofErr w:type="spellEnd"/>
      <w:r w:rsidR="003B158E" w:rsidRPr="001D4E8E">
        <w:rPr>
          <w:rFonts w:eastAsia="Calibri" w:cs="Times New Roman"/>
          <w:iCs/>
          <w:color w:val="000000"/>
          <w:szCs w:val="24"/>
        </w:rPr>
        <w:t>; материал наружных стен: иной вид материалов наружных стен и каркасов (Несущие стены: внутренний слой - железобетон; утеплитель -</w:t>
      </w:r>
      <w:proofErr w:type="spellStart"/>
      <w:r w:rsidR="003B158E" w:rsidRPr="001D4E8E">
        <w:rPr>
          <w:rFonts w:eastAsia="Calibri" w:cs="Times New Roman"/>
          <w:iCs/>
          <w:color w:val="000000"/>
          <w:szCs w:val="24"/>
        </w:rPr>
        <w:t>минераловатные</w:t>
      </w:r>
      <w:proofErr w:type="spellEnd"/>
      <w:r w:rsidR="003B158E" w:rsidRPr="001D4E8E">
        <w:rPr>
          <w:rFonts w:eastAsia="Calibri" w:cs="Times New Roman"/>
          <w:iCs/>
          <w:color w:val="000000"/>
          <w:szCs w:val="24"/>
        </w:rPr>
        <w:t xml:space="preserve"> плиты; наружный слой: тип 1 - кладка из керамического кирпича; тип 2 - фасадная штукатурка; тип 3 - вентилируемый фасад. Ненесущие стены: внутренний слой - кладка из </w:t>
      </w:r>
      <w:proofErr w:type="spellStart"/>
      <w:r w:rsidR="003B158E" w:rsidRPr="001D4E8E">
        <w:rPr>
          <w:rFonts w:eastAsia="Calibri" w:cs="Times New Roman"/>
          <w:iCs/>
          <w:color w:val="000000"/>
          <w:szCs w:val="24"/>
        </w:rPr>
        <w:t>ячеистобетонных</w:t>
      </w:r>
      <w:proofErr w:type="spellEnd"/>
      <w:r w:rsidR="003B158E" w:rsidRPr="001D4E8E">
        <w:rPr>
          <w:rFonts w:eastAsia="Calibri" w:cs="Times New Roman"/>
          <w:iCs/>
          <w:color w:val="000000"/>
          <w:szCs w:val="24"/>
        </w:rPr>
        <w:t xml:space="preserve"> блоков; утеплитель - </w:t>
      </w:r>
      <w:proofErr w:type="spellStart"/>
      <w:r w:rsidR="003B158E" w:rsidRPr="001D4E8E">
        <w:rPr>
          <w:rFonts w:eastAsia="Calibri" w:cs="Times New Roman"/>
          <w:iCs/>
          <w:color w:val="000000"/>
          <w:szCs w:val="24"/>
        </w:rPr>
        <w:t>минераловатные</w:t>
      </w:r>
      <w:proofErr w:type="spellEnd"/>
      <w:r w:rsidR="003B158E" w:rsidRPr="001D4E8E">
        <w:rPr>
          <w:rFonts w:eastAsia="Calibri" w:cs="Times New Roman"/>
          <w:iCs/>
          <w:color w:val="000000"/>
          <w:szCs w:val="24"/>
        </w:rPr>
        <w:t xml:space="preserve"> плиты; наружный слой: тип 4 - кладка из керамического кирпича; тип 5 - фасадная штукатурка; тип 6 - вентилируемый фасад); Ненесущие стены 1-го этажа - внутренний слой - кладка из </w:t>
      </w:r>
      <w:proofErr w:type="spellStart"/>
      <w:r w:rsidR="003B158E" w:rsidRPr="001D4E8E">
        <w:rPr>
          <w:rFonts w:eastAsia="Calibri" w:cs="Times New Roman"/>
          <w:iCs/>
          <w:color w:val="000000"/>
          <w:szCs w:val="24"/>
        </w:rPr>
        <w:t>ячеистобетонных</w:t>
      </w:r>
      <w:proofErr w:type="spellEnd"/>
      <w:r w:rsidR="003B158E" w:rsidRPr="001D4E8E">
        <w:rPr>
          <w:rFonts w:eastAsia="Calibri" w:cs="Times New Roman"/>
          <w:iCs/>
          <w:color w:val="000000"/>
          <w:szCs w:val="24"/>
        </w:rPr>
        <w:t xml:space="preserve"> блоков, наружный слой - кладка из керамического кирпича. материал поэтажных перекрытий: монолитные железобетонные, класс </w:t>
      </w:r>
      <w:proofErr w:type="spellStart"/>
      <w:r w:rsidR="003B158E" w:rsidRPr="001D4E8E">
        <w:rPr>
          <w:rFonts w:eastAsia="Calibri" w:cs="Times New Roman"/>
          <w:iCs/>
          <w:color w:val="000000"/>
          <w:szCs w:val="24"/>
        </w:rPr>
        <w:t>энергоэффективности</w:t>
      </w:r>
      <w:proofErr w:type="spellEnd"/>
      <w:r w:rsidR="003B158E" w:rsidRPr="001D4E8E">
        <w:rPr>
          <w:rFonts w:eastAsia="Calibri" w:cs="Times New Roman"/>
          <w:iCs/>
          <w:color w:val="000000"/>
          <w:szCs w:val="24"/>
        </w:rPr>
        <w:t>: В; сейсмостойкость: 5 и менее баллов,</w:t>
      </w:r>
      <w:r w:rsidR="003B158E" w:rsidRPr="001D4E8E">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003B158E" w:rsidRPr="001D4E8E">
        <w:rPr>
          <w:rFonts w:eastAsia="Calibri" w:cs="Times New Roman"/>
          <w:bCs/>
          <w:color w:val="000000"/>
          <w:szCs w:val="24"/>
        </w:rPr>
        <w:t xml:space="preserve"> </w:t>
      </w:r>
      <w:r w:rsidR="003B158E" w:rsidRPr="001D4E8E">
        <w:rPr>
          <w:rFonts w:eastAsia="Calibri" w:cs="Times New Roman"/>
          <w:b/>
          <w:bCs/>
          <w:color w:val="000000"/>
          <w:szCs w:val="24"/>
        </w:rPr>
        <w:t>Московская область, Пушкинский городской округ, в районе микрорайона Новая Деревня г. Пушкино, корп. 21</w:t>
      </w:r>
      <w:r w:rsidR="003B158E" w:rsidRPr="001D4E8E">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tabs>
          <w:tab w:val="clear" w:pos="1093"/>
        </w:tabs>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Объекта долевого строительства - площадь по проекту,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 xml:space="preserve">,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iCs/>
          <w:szCs w:val="24"/>
        </w:rPr>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w:t>
      </w:r>
      <w:r w:rsidRPr="001D4E8E">
        <w:rPr>
          <w:rFonts w:cs="Times New Roman"/>
          <w:szCs w:val="24"/>
        </w:rPr>
        <w:t xml:space="preserve"> состоящая из </w:t>
      </w:r>
      <w:r w:rsidRPr="001D4E8E">
        <w:rPr>
          <w:rFonts w:cs="Times New Roman"/>
          <w:szCs w:val="24"/>
        </w:rPr>
        <w:lastRenderedPageBreak/>
        <w:t>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5E23AE" w:rsidRDefault="005E23AE" w:rsidP="005E23A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2D22A6" w:rsidRDefault="005E23AE" w:rsidP="00325F2C">
      <w:pPr>
        <w:pStyle w:val="a9"/>
        <w:numPr>
          <w:ilvl w:val="0"/>
          <w:numId w:val="6"/>
        </w:numPr>
        <w:ind w:left="1134" w:hanging="425"/>
        <w:contextualSpacing w:val="0"/>
        <w:jc w:val="both"/>
        <w:rPr>
          <w:rFonts w:cs="Times New Roman"/>
          <w:iCs/>
          <w:szCs w:val="24"/>
        </w:rPr>
      </w:pPr>
      <w:r w:rsidRPr="002D22A6">
        <w:rPr>
          <w:rFonts w:cs="Times New Roman"/>
          <w:iCs/>
          <w:szCs w:val="24"/>
        </w:rPr>
        <w:t xml:space="preserve">Разрешение на строительство </w:t>
      </w:r>
      <w:r w:rsidR="002D22A6" w:rsidRPr="001D4E8E">
        <w:rPr>
          <w:rFonts w:cs="Times New Roman"/>
          <w:iCs/>
          <w:szCs w:val="24"/>
        </w:rPr>
        <w:t>№ RU50-13-20847-2022 от 11.02.2022 г., выданное Министерство жилищной политики Московской области;</w:t>
      </w:r>
    </w:p>
    <w:p w:rsidR="005E23AE" w:rsidRPr="002D22A6" w:rsidRDefault="005E23AE" w:rsidP="00325F2C">
      <w:pPr>
        <w:pStyle w:val="a9"/>
        <w:numPr>
          <w:ilvl w:val="0"/>
          <w:numId w:val="6"/>
        </w:numPr>
        <w:ind w:left="1134" w:hanging="425"/>
        <w:contextualSpacing w:val="0"/>
        <w:jc w:val="both"/>
        <w:rPr>
          <w:rFonts w:cs="Times New Roman"/>
          <w:iCs/>
          <w:szCs w:val="24"/>
        </w:rPr>
      </w:pPr>
      <w:r w:rsidRPr="002D22A6">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5E23AE">
      <w:pPr>
        <w:pStyle w:val="a9"/>
        <w:numPr>
          <w:ilvl w:val="1"/>
          <w:numId w:val="1"/>
        </w:numPr>
        <w:tabs>
          <w:tab w:val="clear" w:pos="1093"/>
        </w:tabs>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proofErr w:type="gramStart"/>
      <w:r>
        <w:rPr>
          <w:bCs/>
          <w:iCs/>
          <w:szCs w:val="24"/>
        </w:rPr>
        <w:t>кв.м</w:t>
      </w:r>
      <w:proofErr w:type="gramEnd"/>
      <w:r>
        <w:rPr>
          <w:bCs/>
          <w:iCs/>
          <w:szCs w:val="24"/>
        </w:rPr>
        <w:t xml:space="preserve">,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кв.</w:t>
      </w:r>
      <w:r w:rsidRPr="00BF24E7">
        <w:rPr>
          <w:rFonts w:cs="Times New Roman"/>
          <w:bCs/>
          <w:iCs/>
          <w:szCs w:val="24"/>
        </w:rPr>
        <w:t xml:space="preserve">м,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proofErr w:type="gramStart"/>
      <w:r w:rsidRPr="00A10698">
        <w:rPr>
          <w:rFonts w:cs="Times New Roman"/>
          <w:b/>
          <w:iCs/>
          <w:szCs w:val="24"/>
        </w:rPr>
        <w:t>ХХ,ХХ</w:t>
      </w:r>
      <w:proofErr w:type="gramEnd"/>
      <w:r w:rsidRPr="00A10698">
        <w:rPr>
          <w:rFonts w:cs="Times New Roman"/>
          <w:iCs/>
          <w:szCs w:val="24"/>
        </w:rPr>
        <w:t xml:space="preserve"> кв.м:</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кв.м</w:t>
      </w:r>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proofErr w:type="gramStart"/>
      <w:r w:rsidRPr="00A10698">
        <w:rPr>
          <w:rFonts w:cs="Times New Roman"/>
          <w:b/>
          <w:iCs/>
          <w:szCs w:val="24"/>
        </w:rPr>
        <w:t>ХХ,ХХ</w:t>
      </w:r>
      <w:proofErr w:type="gramEnd"/>
      <w:r w:rsidRPr="00A10698">
        <w:rPr>
          <w:rFonts w:cs="Times New Roman"/>
          <w:iCs/>
          <w:szCs w:val="24"/>
        </w:rPr>
        <w:t xml:space="preserve"> кв.м,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w:t>
      </w:r>
      <w:proofErr w:type="spellStart"/>
      <w:r w:rsidRPr="009623A0">
        <w:rPr>
          <w:rFonts w:cs="Times New Roman"/>
          <w:iCs/>
          <w:szCs w:val="24"/>
        </w:rPr>
        <w:t>т.ч</w:t>
      </w:r>
      <w:proofErr w:type="spellEnd"/>
      <w:r w:rsidRPr="009623A0">
        <w:rPr>
          <w:rFonts w:cs="Times New Roman"/>
          <w:iCs/>
          <w:szCs w:val="24"/>
        </w:rPr>
        <w:t>.</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w:t>
      </w:r>
      <w:r w:rsidRPr="001D4E8E">
        <w:rPr>
          <w:rFonts w:cs="Times New Roman"/>
          <w:szCs w:val="24"/>
        </w:rPr>
        <w:lastRenderedPageBreak/>
        <w:t>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9E2E69">
        <w:rPr>
          <w:rFonts w:cs="Times New Roman"/>
          <w:b/>
          <w:iCs/>
          <w:szCs w:val="24"/>
        </w:rPr>
        <w:t>ХХ</w:t>
      </w:r>
      <w:r w:rsidRPr="00A10698">
        <w:rPr>
          <w:rFonts w:cs="Times New Roman"/>
          <w:b/>
          <w:iCs/>
          <w:szCs w:val="24"/>
        </w:rPr>
        <w:t>,ХХ</w:t>
      </w:r>
      <w:proofErr w:type="gramEnd"/>
      <w:r>
        <w:rPr>
          <w:rFonts w:cs="Times New Roman"/>
          <w:iCs/>
          <w:szCs w:val="24"/>
        </w:rPr>
        <w:t xml:space="preserve"> </w:t>
      </w:r>
      <w:r w:rsidRPr="00BF24E7">
        <w:rPr>
          <w:rFonts w:cs="Times New Roman"/>
          <w:bCs/>
          <w:iCs/>
          <w:szCs w:val="24"/>
        </w:rPr>
        <w:t xml:space="preserve"> </w:t>
      </w:r>
      <w:r w:rsidRPr="00BF24E7">
        <w:rPr>
          <w:rFonts w:cs="Times New Roman"/>
          <w:iCs/>
          <w:szCs w:val="24"/>
        </w:rPr>
        <w:t xml:space="preserve">кв.м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5E23AE" w:rsidRDefault="005E23AE" w:rsidP="005E23AE">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tabs>
          <w:tab w:val="clear" w:pos="1093"/>
        </w:tabs>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 xml:space="preserve">чет </w:t>
      </w:r>
      <w:proofErr w:type="spellStart"/>
      <w:r w:rsidRPr="004239C4">
        <w:rPr>
          <w:rFonts w:cs="Times New Roman"/>
          <w:szCs w:val="24"/>
        </w:rPr>
        <w:t>эскроу</w:t>
      </w:r>
      <w:proofErr w:type="spellEnd"/>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gramStart"/>
      <w:r w:rsidRPr="004462DA">
        <w:rPr>
          <w:szCs w:val="24"/>
        </w:rPr>
        <w:t>кв.м</w:t>
      </w:r>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 xml:space="preserve">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w:t>
      </w:r>
      <w:r w:rsidRPr="00F25F07">
        <w:rPr>
          <w:szCs w:val="24"/>
        </w:rPr>
        <w:lastRenderedPageBreak/>
        <w:t>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clear" w:pos="1093"/>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DC031C">
        <w:rPr>
          <w:rFonts w:cs="Times New Roman"/>
          <w:iCs/>
          <w:szCs w:val="24"/>
        </w:rPr>
        <w:t>т.ч</w:t>
      </w:r>
      <w:proofErr w:type="spellEnd"/>
      <w:r w:rsidRPr="00DC031C">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w:t>
      </w:r>
      <w:r w:rsidRPr="001D4E8E">
        <w:rPr>
          <w:iCs/>
          <w:szCs w:val="24"/>
        </w:rPr>
        <w:lastRenderedPageBreak/>
        <w:t>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w:t>
      </w:r>
      <w:r w:rsidRPr="001D4E8E">
        <w:rPr>
          <w:rFonts w:cs="Times New Roman"/>
          <w:szCs w:val="24"/>
        </w:rPr>
        <w:lastRenderedPageBreak/>
        <w:t xml:space="preserve">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B4702C" w:rsidRPr="00C37B98">
        <w:rPr>
          <w:rFonts w:cs="Times New Roman"/>
          <w:szCs w:val="24"/>
        </w:rPr>
        <w:t xml:space="preserve">либо Договора уступки подписанного Сторонами, в </w:t>
      </w:r>
      <w:proofErr w:type="spellStart"/>
      <w:r w:rsidR="00B4702C" w:rsidRPr="00C37B98">
        <w:rPr>
          <w:rFonts w:cs="Times New Roman"/>
          <w:szCs w:val="24"/>
        </w:rPr>
        <w:t>т.ч</w:t>
      </w:r>
      <w:proofErr w:type="spellEnd"/>
      <w:r w:rsidR="00B4702C" w:rsidRPr="00C37B98">
        <w:rPr>
          <w:rFonts w:cs="Times New Roman"/>
          <w:szCs w:val="24"/>
        </w:rPr>
        <w:t>. прошедшего электронную регистрацию, и выписки из ЕГРН, подтверждающую регистрацию Договора уступки</w:t>
      </w:r>
      <w:r w:rsidR="00B4702C" w:rsidRPr="001D4E8E">
        <w:rPr>
          <w:rFonts w:cs="Times New Roman"/>
          <w:szCs w:val="24"/>
        </w:rPr>
        <w:t>,</w:t>
      </w:r>
      <w:r w:rsidR="00B4702C">
        <w:rPr>
          <w:rFonts w:cs="Times New Roman"/>
          <w:szCs w:val="24"/>
        </w:rPr>
        <w:t xml:space="preserve">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F02F77"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sidR="00F146EE">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w:t>
      </w:r>
      <w:r w:rsidRPr="001D4E8E">
        <w:rPr>
          <w:szCs w:val="24"/>
        </w:rPr>
        <w:lastRenderedPageBreak/>
        <w:t>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w:t>
      </w:r>
      <w:r w:rsidRPr="001D4E8E">
        <w:rPr>
          <w:szCs w:val="24"/>
        </w:rPr>
        <w:lastRenderedPageBreak/>
        <w:t>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8A5C37" w:rsidRPr="00C8114F" w:rsidRDefault="008A5C37" w:rsidP="008A5C37">
      <w:pPr>
        <w:keepNext/>
        <w:keepLines/>
        <w:ind w:left="709"/>
        <w:jc w:val="both"/>
        <w:rPr>
          <w:rFonts w:cs="Times New Roman"/>
          <w:b/>
          <w:bCs/>
          <w:szCs w:val="24"/>
        </w:rPr>
      </w:pPr>
      <w:r>
        <w:rPr>
          <w:rFonts w:cs="Times New Roman"/>
          <w:b/>
        </w:rPr>
        <w:t>Общество с ограниченной ответственностью «Специализированный застройщик «Флагман»</w:t>
      </w:r>
    </w:p>
    <w:p w:rsidR="008A5C37" w:rsidRPr="00C8114F" w:rsidRDefault="008A5C37" w:rsidP="008A5C37">
      <w:pPr>
        <w:keepNext/>
        <w:keepLines/>
        <w:ind w:left="709"/>
        <w:jc w:val="both"/>
        <w:rPr>
          <w:rFonts w:cs="Times New Roman"/>
          <w:b/>
          <w:szCs w:val="24"/>
        </w:rPr>
      </w:pPr>
      <w:r w:rsidRPr="00C8114F">
        <w:rPr>
          <w:rFonts w:cs="Times New Roman"/>
          <w:szCs w:val="24"/>
        </w:rPr>
        <w:t>ОГРН 1047796309527, ИНН 7719515280, КПП 503801001, адрес: 141200, Московская обл., г. Пушкино, автодорога Ярославское шоссе, 36 км, вл. 1, стр. 1</w:t>
      </w:r>
      <w:r w:rsidRPr="00C8114F">
        <w:rPr>
          <w:rFonts w:cs="Times New Roman"/>
          <w:snapToGrid w:val="0"/>
          <w:szCs w:val="24"/>
        </w:rPr>
        <w:t>.</w:t>
      </w:r>
    </w:p>
    <w:p w:rsidR="008A5C37" w:rsidRPr="00C8114F" w:rsidRDefault="008A5C37" w:rsidP="008A5C37">
      <w:pPr>
        <w:keepLines/>
        <w:ind w:left="709"/>
        <w:jc w:val="both"/>
        <w:rPr>
          <w:rFonts w:cs="Times New Roman"/>
          <w:bCs/>
          <w:szCs w:val="24"/>
        </w:rPr>
      </w:pPr>
      <w:r w:rsidRPr="00C8114F">
        <w:rPr>
          <w:rFonts w:cs="Times New Roman"/>
          <w:szCs w:val="24"/>
        </w:rPr>
        <w:t>Адрес для направления корреспонденции: 141200, Московская обл., г. Пушкино, автодорога Ярославское шоссе, 36 км, вл. 1, стр. 1.</w:t>
      </w:r>
    </w:p>
    <w:p w:rsidR="005E23AE" w:rsidRPr="00BF24E7" w:rsidRDefault="005E23AE" w:rsidP="005E23AE">
      <w:pPr>
        <w:jc w:val="both"/>
        <w:rPr>
          <w:rFonts w:cs="Times New Roman"/>
          <w:szCs w:val="24"/>
        </w:rPr>
      </w:pPr>
      <w:bookmarkStart w:id="0" w:name="_GoBack"/>
      <w:bookmarkEnd w:id="0"/>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rPr>
          <w:rFonts w:cs="Times New Roman"/>
          <w:szCs w:val="24"/>
        </w:rPr>
      </w:pPr>
      <w:r>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Default="005E23AE" w:rsidP="005E23AE">
      <w:pPr>
        <w:jc w:val="both"/>
        <w:rPr>
          <w:rFonts w:eastAsia="Calibri" w:cs="Times New Roman"/>
          <w:color w:val="000000"/>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3B158E">
                  <w:pPr>
                    <w:framePr w:hSpace="180" w:wrap="around" w:vAnchor="text" w:hAnchor="text" w:x="-284" w:y="269"/>
                    <w:ind w:left="-47"/>
                    <w:rPr>
                      <w:b/>
                      <w:bCs/>
                      <w:sz w:val="24"/>
                      <w:szCs w:val="24"/>
                    </w:rPr>
                  </w:pPr>
                </w:p>
                <w:p w:rsidR="005E23AE" w:rsidRPr="00BF24E7" w:rsidRDefault="005E23AE" w:rsidP="003B158E">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3B158E">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3B158E">
                  <w:pPr>
                    <w:framePr w:hSpace="180" w:wrap="around" w:vAnchor="text" w:hAnchor="text" w:x="-284" w:y="269"/>
                    <w:ind w:left="-47"/>
                    <w:rPr>
                      <w:b/>
                      <w:bCs/>
                      <w:sz w:val="24"/>
                      <w:szCs w:val="24"/>
                    </w:rPr>
                  </w:pPr>
                </w:p>
                <w:p w:rsidR="005E23AE" w:rsidRPr="00BF24E7" w:rsidRDefault="005E23AE" w:rsidP="003B158E">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3B158E">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8A5C37">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A5C37">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A5C37">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A5C37">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74022"/>
    <w:rsid w:val="00085809"/>
    <w:rsid w:val="000910CF"/>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113A"/>
    <w:rsid w:val="002839E3"/>
    <w:rsid w:val="00285390"/>
    <w:rsid w:val="002A293A"/>
    <w:rsid w:val="002D22A6"/>
    <w:rsid w:val="002E6F47"/>
    <w:rsid w:val="003149F6"/>
    <w:rsid w:val="00340647"/>
    <w:rsid w:val="00343702"/>
    <w:rsid w:val="00372E38"/>
    <w:rsid w:val="00380BAF"/>
    <w:rsid w:val="00387DF7"/>
    <w:rsid w:val="00393B7D"/>
    <w:rsid w:val="00396DF9"/>
    <w:rsid w:val="00397AAE"/>
    <w:rsid w:val="003A4E90"/>
    <w:rsid w:val="003B158E"/>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A5C37"/>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02C"/>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CF4EB3"/>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02F77"/>
    <w:rsid w:val="00F146EE"/>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E06FF4"/>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2BE9EE46-0FFF-40A1-8213-DA49C4B5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4680</Words>
  <Characters>26677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Жицкая Анастасия Дмитриевна</cp:lastModifiedBy>
  <cp:revision>7</cp:revision>
  <dcterms:created xsi:type="dcterms:W3CDTF">2020-09-24T12:06:00Z</dcterms:created>
  <dcterms:modified xsi:type="dcterms:W3CDTF">2022-08-17T12:08:00Z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