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D38104D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1E7470" w:rsidRPr="006672FC">
        <w:rPr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>(без уче</w:t>
            </w:r>
            <w:r w:rsidR="006672FC" w:rsidRPr="00A14949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A14949">
              <w:rPr>
                <w:b/>
                <w:sz w:val="16"/>
                <w:szCs w:val="16"/>
              </w:rPr>
              <w:t xml:space="preserve">коэффициента),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A14949">
              <w:rPr>
                <w:b/>
                <w:sz w:val="16"/>
                <w:szCs w:val="16"/>
              </w:rPr>
              <w:t>,</w:t>
            </w:r>
            <w:r w:rsidR="00F754C6" w:rsidRPr="00A14949">
              <w:rPr>
                <w:b/>
                <w:sz w:val="16"/>
                <w:szCs w:val="16"/>
              </w:rPr>
              <w:t xml:space="preserve"> </w:t>
            </w:r>
            <w:r w:rsidR="006672FC"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18B35BC8" w14:textId="7FBAA04A" w:rsidR="00245F34" w:rsidRDefault="00D63BD3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35A441CD" w14:textId="19B57805" w:rsidR="00245F34" w:rsidRPr="00245F34" w:rsidRDefault="00245F34" w:rsidP="00245F34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sz w:val="22"/>
          <w:szCs w:val="22"/>
          <w:lang w:val="ru-RU"/>
        </w:rPr>
      </w:pPr>
      <w:bookmarkStart w:id="0" w:name="_GoBack"/>
      <w:r w:rsidRPr="00245F34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1BA2D7CE" w14:textId="77777777" w:rsidR="000B5C63" w:rsidRDefault="000B5C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525291">
        <w:rPr>
          <w:b/>
          <w:bCs/>
          <w:sz w:val="22"/>
          <w:szCs w:val="22"/>
          <w:highlight w:val="cyan"/>
        </w:rPr>
        <w:t>ХХХХХ</w:t>
      </w:r>
      <w:r w:rsidRPr="00F75263">
        <w:rPr>
          <w:rFonts w:eastAsia="Calibri"/>
          <w:sz w:val="22"/>
          <w:szCs w:val="22"/>
        </w:rPr>
        <w:t xml:space="preserve"> </w:t>
      </w:r>
    </w:p>
    <w:p w14:paraId="3F8CBA63" w14:textId="513DBF72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lastRenderedPageBreak/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288F2E90" w14:textId="17FA1A0A" w:rsidR="00245F34" w:rsidRPr="00245F34" w:rsidRDefault="00245F34" w:rsidP="00F75263">
      <w:pPr>
        <w:tabs>
          <w:tab w:val="left" w:pos="1134"/>
        </w:tabs>
        <w:ind w:firstLine="540"/>
        <w:jc w:val="both"/>
        <w:rPr>
          <w:rFonts w:eastAsia="Calibri"/>
          <w:b/>
          <w:color w:val="FF0000"/>
          <w:sz w:val="22"/>
          <w:szCs w:val="22"/>
        </w:rPr>
      </w:pPr>
      <w:r w:rsidRPr="00245F34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94C8C6E" w14:textId="77777777" w:rsidR="000B5C63" w:rsidRDefault="000B5C63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525291">
        <w:rPr>
          <w:b/>
          <w:bCs/>
          <w:sz w:val="22"/>
          <w:szCs w:val="22"/>
          <w:highlight w:val="cyan"/>
        </w:rPr>
        <w:t>ХХХХХ</w:t>
      </w:r>
      <w:r w:rsidRPr="00245F34">
        <w:rPr>
          <w:rFonts w:eastAsia="Calibri"/>
          <w:color w:val="000000"/>
          <w:sz w:val="22"/>
          <w:szCs w:val="22"/>
        </w:rPr>
        <w:t xml:space="preserve"> </w:t>
      </w:r>
    </w:p>
    <w:p w14:paraId="63998E06" w14:textId="08B45EB0" w:rsidR="00245F34" w:rsidRPr="00245F34" w:rsidRDefault="00245F34" w:rsidP="00245F34">
      <w:pPr>
        <w:tabs>
          <w:tab w:val="left" w:pos="426"/>
        </w:tabs>
        <w:ind w:firstLine="567"/>
        <w:jc w:val="both"/>
        <w:rPr>
          <w:rFonts w:eastAsia="Calibri"/>
          <w:color w:val="000000"/>
          <w:sz w:val="22"/>
          <w:szCs w:val="22"/>
        </w:rPr>
      </w:pPr>
      <w:r w:rsidRPr="00245F34">
        <w:rPr>
          <w:rFonts w:eastAsia="Calibri"/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14EA738B" w14:textId="77777777" w:rsidR="00245F34" w:rsidRPr="00ED1AB0" w:rsidRDefault="00245F34" w:rsidP="00245F34">
      <w:pPr>
        <w:spacing w:line="260" w:lineRule="exact"/>
        <w:ind w:firstLine="567"/>
        <w:jc w:val="both"/>
        <w:rPr>
          <w:bCs/>
          <w:sz w:val="22"/>
          <w:szCs w:val="22"/>
        </w:rPr>
      </w:pPr>
      <w:r w:rsidRPr="00245F34">
        <w:rPr>
          <w:rFonts w:eastAsia="Calibri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70C5AF4C" w14:textId="015F5C8A" w:rsidR="00245F34" w:rsidRPr="00555849" w:rsidRDefault="00245F34" w:rsidP="00245F3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  <w:bookmarkEnd w:id="0"/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014448EF" w14:textId="4E8B67F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 xml:space="preserve">Разрешением на строительство № 77-131000-020333-2022 от «18» июля 2022 г., выданным </w:t>
      </w:r>
      <w:r w:rsidRPr="004E227E">
        <w:rPr>
          <w:color w:val="000000"/>
          <w:sz w:val="22"/>
          <w:szCs w:val="22"/>
        </w:rPr>
        <w:lastRenderedPageBreak/>
        <w:t>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AEAAA7" w14:textId="77777777" w:rsidR="00EB73FF" w:rsidRPr="004E227E" w:rsidRDefault="00EB73FF" w:rsidP="00EB73FF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</w:t>
      </w:r>
      <w:r w:rsidR="00561E1C" w:rsidRPr="00091BF0">
        <w:rPr>
          <w:sz w:val="22"/>
          <w:szCs w:val="22"/>
        </w:rPr>
        <w:lastRenderedPageBreak/>
        <w:t xml:space="preserve">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</w:t>
      </w:r>
      <w:r w:rsidRPr="00F87F30">
        <w:rPr>
          <w:sz w:val="22"/>
          <w:szCs w:val="22"/>
        </w:rPr>
        <w:lastRenderedPageBreak/>
        <w:t xml:space="preserve">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2CEE6AC2" w14:textId="77777777" w:rsidR="00D2294C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70AC72E4" w14:textId="5D709EE2" w:rsidR="00474C18" w:rsidRDefault="00474C18" w:rsidP="008211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294C" w:rsidRPr="001B0BDD">
        <w:rPr>
          <w:sz w:val="22"/>
          <w:szCs w:val="22"/>
        </w:rPr>
        <w:t xml:space="preserve"> </w:t>
      </w:r>
      <w:r w:rsidR="00D2294C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lastRenderedPageBreak/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8CC27CF" w14:textId="478D2281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="00795541"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1B1FE028" w14:textId="5063DDF5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="007C563E"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4D00FA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4D00FA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</w:t>
      </w:r>
      <w:r w:rsidRPr="00CB33CA">
        <w:rPr>
          <w:sz w:val="22"/>
          <w:szCs w:val="22"/>
        </w:rPr>
        <w:lastRenderedPageBreak/>
        <w:t>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</w:t>
      </w:r>
      <w:r w:rsidRPr="00091BF0">
        <w:rPr>
          <w:sz w:val="22"/>
          <w:szCs w:val="22"/>
        </w:rPr>
        <w:lastRenderedPageBreak/>
        <w:t xml:space="preserve">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</w:t>
      </w:r>
      <w:r w:rsidRPr="00DC3D68">
        <w:rPr>
          <w:sz w:val="22"/>
          <w:szCs w:val="22"/>
        </w:rPr>
        <w:lastRenderedPageBreak/>
        <w:t xml:space="preserve">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 xml:space="preserve">, в том числе объектов социальной инфраструктуры, </w:t>
      </w:r>
      <w:r w:rsidR="00EB73FF" w:rsidRPr="004E227E">
        <w:rPr>
          <w:sz w:val="22"/>
          <w:szCs w:val="22"/>
        </w:rPr>
        <w:lastRenderedPageBreak/>
        <w:t>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159A818E" w14:textId="77777777" w:rsidR="00B56B38" w:rsidRPr="006B22EC" w:rsidRDefault="00B56B38" w:rsidP="00B56B3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368F296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2F41B4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942B8C4" w14:textId="29527D1F" w:rsidR="00EB73FF" w:rsidRPr="004E227E" w:rsidRDefault="00EB73FF" w:rsidP="00EB73FF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</w:t>
      </w:r>
      <w:r w:rsidR="00322246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5222AC9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B56B38">
        <w:rPr>
          <w:b/>
          <w:color w:val="000000"/>
          <w:sz w:val="22"/>
          <w:szCs w:val="22"/>
        </w:rPr>
        <w:t xml:space="preserve">Схема дома </w:t>
      </w:r>
      <w:r w:rsidR="00147472" w:rsidRPr="00B56B38">
        <w:rPr>
          <w:b/>
          <w:color w:val="000000"/>
          <w:sz w:val="22"/>
          <w:szCs w:val="22"/>
        </w:rPr>
        <w:t>–</w:t>
      </w:r>
      <w:r w:rsidR="000D225C" w:rsidRPr="00B56B38">
        <w:rPr>
          <w:b/>
          <w:color w:val="000000"/>
          <w:sz w:val="22"/>
          <w:szCs w:val="22"/>
        </w:rPr>
        <w:t xml:space="preserve"> </w:t>
      </w:r>
      <w:r w:rsidR="00C92233" w:rsidRPr="00B56B38">
        <w:rPr>
          <w:b/>
          <w:sz w:val="22"/>
          <w:szCs w:val="22"/>
        </w:rPr>
        <w:t xml:space="preserve">Корпус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D2294C">
      <w:rPr>
        <w:noProof/>
        <w:sz w:val="18"/>
      </w:rPr>
      <w:t>2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3E6E5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5C63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5F34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294C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762D-CE3F-48ED-A0A5-E8C10443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5892</Words>
  <Characters>44142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49935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17</cp:revision>
  <cp:lastPrinted>2022-07-25T06:54:00Z</cp:lastPrinted>
  <dcterms:created xsi:type="dcterms:W3CDTF">2022-07-25T09:13:00Z</dcterms:created>
  <dcterms:modified xsi:type="dcterms:W3CDTF">2023-06-08T10:01:00Z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