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66C764DC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0D37DE0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128E4186" w:rsidR="00FE1BFE" w:rsidRPr="00CB33CA" w:rsidRDefault="00B505F2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6BB8DA67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607E7C03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6D1D8C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следующее значение:</w:t>
      </w:r>
    </w:p>
    <w:p w14:paraId="265733A1" w14:textId="30004970" w:rsidR="000B47B9" w:rsidRDefault="00B14608" w:rsidP="00B505F2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3-32-этажный ж</w:t>
      </w:r>
      <w:r w:rsidRPr="004E227E">
        <w:rPr>
          <w:color w:val="000000"/>
          <w:sz w:val="22"/>
          <w:szCs w:val="22"/>
        </w:rPr>
        <w:t>илой комплекс,</w:t>
      </w:r>
      <w:r w:rsidRPr="004E227E">
        <w:rPr>
          <w:rFonts w:eastAsia="Calibri"/>
          <w:sz w:val="22"/>
          <w:szCs w:val="22"/>
        </w:rPr>
        <w:t xml:space="preserve"> состоящий из двух жилых 32-этажных корпусов (Б1 – 639 квартирный и Б2 – 631 квартирный),</w:t>
      </w:r>
      <w:r w:rsidRPr="004E227E">
        <w:rPr>
          <w:color w:val="000000"/>
          <w:sz w:val="22"/>
          <w:szCs w:val="22"/>
        </w:rPr>
        <w:t xml:space="preserve"> </w:t>
      </w:r>
      <w:r w:rsidRPr="004E227E">
        <w:rPr>
          <w:rFonts w:eastAsia="Calibri"/>
          <w:sz w:val="22"/>
          <w:szCs w:val="22"/>
        </w:rPr>
        <w:t>объединенных</w:t>
      </w:r>
      <w:r w:rsidRPr="004E227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4E227E">
        <w:rPr>
          <w:rFonts w:eastAsia="Calibri"/>
          <w:sz w:val="22"/>
          <w:szCs w:val="22"/>
        </w:rPr>
        <w:t xml:space="preserve">трехэтажным стилобатом и </w:t>
      </w:r>
      <w:r w:rsidRPr="004E227E">
        <w:rPr>
          <w:color w:val="000000"/>
          <w:sz w:val="22"/>
          <w:szCs w:val="22"/>
        </w:rPr>
        <w:t>подземной одноуровневой автостоянкой и сопутствующими инфраструктурными объектами (очередь 1, этап 1), общей площадью 74 473,2 м</w:t>
      </w:r>
      <w:r w:rsidRPr="004E227E">
        <w:rPr>
          <w:color w:val="000000"/>
          <w:sz w:val="22"/>
          <w:szCs w:val="22"/>
          <w:vertAlign w:val="superscript"/>
        </w:rPr>
        <w:t>2</w:t>
      </w:r>
      <w:r w:rsidRPr="004E227E">
        <w:rPr>
          <w:color w:val="000000"/>
          <w:sz w:val="22"/>
          <w:szCs w:val="22"/>
        </w:rPr>
        <w:t xml:space="preserve">; </w:t>
      </w:r>
      <w:r w:rsidRPr="004E227E">
        <w:rPr>
          <w:sz w:val="22"/>
          <w:szCs w:val="22"/>
        </w:rPr>
        <w:t xml:space="preserve">функциональное назначение дома: жилой; </w:t>
      </w:r>
      <w:r w:rsidRPr="004E227E">
        <w:rPr>
          <w:sz w:val="22"/>
          <w:szCs w:val="22"/>
          <w:lang w:val="x-none"/>
        </w:rPr>
        <w:t xml:space="preserve">материал наружных стен </w:t>
      </w:r>
      <w:r w:rsidRPr="004E227E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Pr="004E227E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4E227E">
        <w:rPr>
          <w:sz w:val="22"/>
          <w:szCs w:val="22"/>
          <w:lang w:val="x-none"/>
        </w:rPr>
        <w:t>энергоэффективности</w:t>
      </w:r>
      <w:proofErr w:type="spellEnd"/>
      <w:r w:rsidRPr="004E227E">
        <w:rPr>
          <w:sz w:val="22"/>
          <w:szCs w:val="22"/>
        </w:rPr>
        <w:t>:</w:t>
      </w:r>
      <w:r w:rsidRPr="004E227E">
        <w:rPr>
          <w:sz w:val="22"/>
          <w:szCs w:val="22"/>
          <w:lang w:val="x-none"/>
        </w:rPr>
        <w:t xml:space="preserve"> </w:t>
      </w:r>
      <w:r w:rsidRPr="004E227E">
        <w:rPr>
          <w:sz w:val="22"/>
          <w:szCs w:val="22"/>
        </w:rPr>
        <w:t>А++,</w:t>
      </w:r>
      <w:r w:rsidRPr="004E227E">
        <w:rPr>
          <w:sz w:val="22"/>
          <w:szCs w:val="22"/>
          <w:lang w:val="x-none"/>
        </w:rPr>
        <w:t xml:space="preserve"> строящийся</w:t>
      </w:r>
      <w:r w:rsidRPr="004E227E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</w:t>
      </w:r>
      <w:r>
        <w:rPr>
          <w:sz w:val="22"/>
          <w:szCs w:val="22"/>
        </w:rPr>
        <w:t>ом</w:t>
      </w:r>
      <w:r w:rsidRPr="004E227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 </w:t>
      </w:r>
      <w:r w:rsidRPr="00EE346A">
        <w:rPr>
          <w:sz w:val="22"/>
          <w:szCs w:val="22"/>
        </w:rPr>
        <w:t>с кадастровым номером 77:09:0002025:7434</w:t>
      </w:r>
      <w:r w:rsidRPr="004E227E">
        <w:rPr>
          <w:sz w:val="22"/>
          <w:szCs w:val="22"/>
        </w:rPr>
        <w:t>, общей площадью 29 326,00 м</w:t>
      </w:r>
      <w:r w:rsidRPr="004E227E">
        <w:rPr>
          <w:sz w:val="22"/>
          <w:szCs w:val="22"/>
          <w:vertAlign w:val="superscript"/>
        </w:rPr>
        <w:t>2</w:t>
      </w:r>
      <w:r w:rsidRPr="004E227E">
        <w:rPr>
          <w:sz w:val="22"/>
          <w:szCs w:val="22"/>
        </w:rPr>
        <w:t>, 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4E227E">
        <w:rPr>
          <w:sz w:val="22"/>
          <w:szCs w:val="22"/>
        </w:rPr>
        <w:t xml:space="preserve">виды разрешенного использования: 2.5 – </w:t>
      </w:r>
      <w:proofErr w:type="spellStart"/>
      <w:r w:rsidRPr="004E227E">
        <w:rPr>
          <w:sz w:val="22"/>
          <w:szCs w:val="22"/>
        </w:rPr>
        <w:t>среднеэтажная</w:t>
      </w:r>
      <w:proofErr w:type="spellEnd"/>
      <w:r w:rsidRPr="004E227E">
        <w:rPr>
          <w:sz w:val="22"/>
          <w:szCs w:val="22"/>
        </w:rPr>
        <w:t xml:space="preserve"> жилая застройка; 2.6 </w:t>
      </w:r>
      <w:r>
        <w:rPr>
          <w:sz w:val="22"/>
          <w:szCs w:val="22"/>
        </w:rPr>
        <w:t>–</w:t>
      </w:r>
      <w:r w:rsidRPr="004E227E">
        <w:rPr>
          <w:sz w:val="22"/>
          <w:szCs w:val="22"/>
        </w:rPr>
        <w:t xml:space="preserve"> многоэтажная жилая застр</w:t>
      </w:r>
      <w:r>
        <w:rPr>
          <w:sz w:val="22"/>
          <w:szCs w:val="22"/>
        </w:rPr>
        <w:t>ойка (высотная застройка); 2.7 –</w:t>
      </w:r>
      <w:r w:rsidRPr="004E227E">
        <w:rPr>
          <w:sz w:val="22"/>
          <w:szCs w:val="22"/>
        </w:rPr>
        <w:t xml:space="preserve"> обслу</w:t>
      </w:r>
      <w:r>
        <w:rPr>
          <w:sz w:val="22"/>
          <w:szCs w:val="22"/>
        </w:rPr>
        <w:t>живание жилой застройки; 2.7.1 –</w:t>
      </w:r>
      <w:r w:rsidRPr="004E227E">
        <w:rPr>
          <w:sz w:val="22"/>
          <w:szCs w:val="22"/>
        </w:rPr>
        <w:t xml:space="preserve"> хранение автотранспорта; 4.1 – деловое управление; 4.3 – рынки; 4.4 – магазины; 4.5 – банковская</w:t>
      </w:r>
      <w:r>
        <w:rPr>
          <w:sz w:val="22"/>
          <w:szCs w:val="22"/>
        </w:rPr>
        <w:t xml:space="preserve"> и страховая деятельность; 4.6 –</w:t>
      </w:r>
      <w:r w:rsidRPr="004E227E">
        <w:rPr>
          <w:sz w:val="22"/>
          <w:szCs w:val="22"/>
        </w:rPr>
        <w:t xml:space="preserve"> общественное питание; 4.9 – служебные гаражи; 4.10 – </w:t>
      </w:r>
      <w:proofErr w:type="spellStart"/>
      <w:r w:rsidRPr="004E227E">
        <w:rPr>
          <w:sz w:val="22"/>
          <w:szCs w:val="22"/>
        </w:rPr>
        <w:t>выставочно</w:t>
      </w:r>
      <w:proofErr w:type="spellEnd"/>
      <w:r w:rsidRPr="004E227E">
        <w:rPr>
          <w:sz w:val="22"/>
          <w:szCs w:val="22"/>
        </w:rPr>
        <w:t>-</w:t>
      </w:r>
      <w:r>
        <w:rPr>
          <w:sz w:val="22"/>
          <w:szCs w:val="22"/>
        </w:rPr>
        <w:t>ярмарочная деятельность; 5.1.2 –</w:t>
      </w:r>
      <w:r w:rsidRPr="004E227E">
        <w:rPr>
          <w:sz w:val="22"/>
          <w:szCs w:val="22"/>
        </w:rPr>
        <w:t xml:space="preserve"> обеспечение занятий спортом в помещениях, имеющ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м адресный ориентир: </w:t>
      </w:r>
      <w:r w:rsidRPr="00EE346A">
        <w:rPr>
          <w:sz w:val="22"/>
          <w:szCs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sz w:val="22"/>
          <w:szCs w:val="22"/>
        </w:rPr>
        <w:t>Дегунино</w:t>
      </w:r>
      <w:proofErr w:type="spellEnd"/>
      <w:r w:rsidRPr="00EE346A">
        <w:rPr>
          <w:sz w:val="22"/>
          <w:szCs w:val="22"/>
        </w:rPr>
        <w:t xml:space="preserve">, проезд </w:t>
      </w:r>
      <w:proofErr w:type="spellStart"/>
      <w:r w:rsidRPr="00EE346A">
        <w:rPr>
          <w:sz w:val="22"/>
          <w:szCs w:val="22"/>
        </w:rPr>
        <w:t>Ильменский</w:t>
      </w:r>
      <w:proofErr w:type="spellEnd"/>
      <w:r w:rsidRPr="00EE346A">
        <w:rPr>
          <w:sz w:val="22"/>
          <w:szCs w:val="22"/>
        </w:rPr>
        <w:t>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>лагоустройству</w:t>
      </w:r>
      <w:r w:rsidRPr="00D6136C">
        <w:rPr>
          <w:color w:val="000000"/>
          <w:sz w:val="22"/>
          <w:szCs w:val="22"/>
        </w:rPr>
        <w:t xml:space="preserve"> прилегающей </w:t>
      </w:r>
      <w:r>
        <w:rPr>
          <w:color w:val="000000"/>
          <w:sz w:val="22"/>
          <w:szCs w:val="22"/>
        </w:rPr>
        <w:t xml:space="preserve">территории на земельном участке </w:t>
      </w:r>
      <w:r w:rsidRPr="00EE346A">
        <w:rPr>
          <w:color w:val="000000"/>
          <w:sz w:val="22"/>
          <w:szCs w:val="22"/>
        </w:rPr>
        <w:t xml:space="preserve">с кадастровым номером 77:09:0002025:7433, общей площадью  </w:t>
      </w:r>
      <w:r w:rsidRPr="00DC01D8">
        <w:rPr>
          <w:color w:val="000000"/>
          <w:sz w:val="22"/>
          <w:szCs w:val="22"/>
        </w:rPr>
        <w:t>15 039,00 м</w:t>
      </w:r>
      <w:r w:rsidRPr="00EE346A">
        <w:rPr>
          <w:color w:val="000000"/>
          <w:sz w:val="22"/>
          <w:szCs w:val="22"/>
          <w:vertAlign w:val="superscript"/>
        </w:rPr>
        <w:t>2</w:t>
      </w:r>
      <w:r w:rsidRPr="00DC01D8">
        <w:rPr>
          <w:color w:val="000000"/>
          <w:sz w:val="22"/>
          <w:szCs w:val="22"/>
        </w:rPr>
        <w:t xml:space="preserve">, </w:t>
      </w:r>
      <w:r w:rsidRPr="004E227E">
        <w:rPr>
          <w:sz w:val="22"/>
          <w:szCs w:val="22"/>
        </w:rPr>
        <w:t>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EE346A">
        <w:rPr>
          <w:color w:val="000000"/>
          <w:sz w:val="22"/>
          <w:szCs w:val="22"/>
        </w:rPr>
        <w:t xml:space="preserve">вид разрешенного </w:t>
      </w:r>
      <w:proofErr w:type="spellStart"/>
      <w:r w:rsidRPr="00EE346A">
        <w:rPr>
          <w:color w:val="000000"/>
          <w:sz w:val="22"/>
          <w:szCs w:val="22"/>
        </w:rPr>
        <w:t>использ</w:t>
      </w:r>
      <w:r w:rsidRPr="00DC01D8">
        <w:rPr>
          <w:color w:val="000000"/>
          <w:sz w:val="22"/>
          <w:szCs w:val="22"/>
          <w:lang w:val="x-none"/>
        </w:rPr>
        <w:t>ования</w:t>
      </w:r>
      <w:proofErr w:type="spellEnd"/>
      <w:r w:rsidRPr="00DC01D8">
        <w:rPr>
          <w:color w:val="000000"/>
          <w:sz w:val="22"/>
          <w:szCs w:val="22"/>
          <w:lang w:val="x-none"/>
        </w:rPr>
        <w:t>:</w:t>
      </w:r>
      <w:r w:rsidRPr="00DC01D8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Pr="00EE346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color w:val="000000"/>
          <w:sz w:val="22"/>
          <w:szCs w:val="22"/>
          <w:lang w:val="x-none"/>
        </w:rPr>
        <w:t>Дегунино</w:t>
      </w:r>
      <w:proofErr w:type="spellEnd"/>
      <w:r w:rsidRPr="00EE346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EE346A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EE346A">
        <w:rPr>
          <w:color w:val="000000"/>
          <w:sz w:val="22"/>
          <w:szCs w:val="22"/>
          <w:lang w:val="x-none"/>
        </w:rPr>
        <w:t>, земельный участок 4</w:t>
      </w:r>
      <w:r w:rsidR="00B505F2" w:rsidRPr="006672FC">
        <w:rPr>
          <w:sz w:val="22"/>
          <w:szCs w:val="22"/>
        </w:rPr>
        <w:t>.</w:t>
      </w:r>
    </w:p>
    <w:p w14:paraId="77CAB1E1" w14:textId="77777777" w:rsidR="00697883" w:rsidRPr="00CA5CF2" w:rsidRDefault="00697883" w:rsidP="006978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5CF2">
        <w:rPr>
          <w:b/>
          <w:sz w:val="22"/>
          <w:szCs w:val="22"/>
        </w:rPr>
        <w:t>Нежилое</w:t>
      </w:r>
      <w:r w:rsidRPr="00CA5CF2">
        <w:rPr>
          <w:rFonts w:cs="Arial"/>
          <w:b/>
          <w:sz w:val="22"/>
          <w:szCs w:val="22"/>
        </w:rPr>
        <w:t xml:space="preserve"> помещение </w:t>
      </w:r>
      <w:r w:rsidRPr="00CA5CF2">
        <w:rPr>
          <w:b/>
          <w:sz w:val="22"/>
          <w:szCs w:val="22"/>
        </w:rPr>
        <w:t>(Помещение)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sz w:val="22"/>
          <w:szCs w:val="22"/>
        </w:rPr>
        <w:t>изолированное, без конкретной технологии</w:t>
      </w:r>
      <w:r w:rsidRPr="00CA5CF2">
        <w:rPr>
          <w:rFonts w:cs="Arial"/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361700E5" w14:textId="77777777" w:rsidR="00697883" w:rsidRPr="00177FBF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Общая (проектная) площадь Помещения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B8A2A48" w14:textId="77777777" w:rsidR="00697883" w:rsidRPr="00CA5CF2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Объект долевого строительства (Помещение): </w:t>
      </w:r>
    </w:p>
    <w:p w14:paraId="6E84E4DE" w14:textId="77777777" w:rsidR="00697883" w:rsidRDefault="00697883" w:rsidP="00697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280">
        <w:rPr>
          <w:rFonts w:ascii="Times New Roman" w:hAnsi="Times New Roman" w:cs="Times New Roman"/>
          <w:b/>
          <w:sz w:val="22"/>
          <w:szCs w:val="22"/>
        </w:rPr>
        <w:t>Помещение со следующими характеристиками: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5"/>
        <w:gridCol w:w="1067"/>
        <w:gridCol w:w="2122"/>
        <w:gridCol w:w="2118"/>
        <w:gridCol w:w="2115"/>
      </w:tblGrid>
      <w:tr w:rsidR="00697883" w:rsidRPr="00CA5CF2" w14:paraId="36332ADE" w14:textId="77777777" w:rsidTr="00697883">
        <w:trPr>
          <w:jc w:val="center"/>
        </w:trPr>
        <w:tc>
          <w:tcPr>
            <w:tcW w:w="1195" w:type="dxa"/>
            <w:vAlign w:val="center"/>
          </w:tcPr>
          <w:p w14:paraId="7B4D1B3F" w14:textId="75DD09C3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 xml:space="preserve">Номер </w:t>
            </w:r>
            <w:r>
              <w:rPr>
                <w:b/>
                <w:sz w:val="20"/>
                <w:szCs w:val="20"/>
              </w:rPr>
              <w:t>корпуса</w:t>
            </w:r>
            <w:r w:rsidRPr="0038655A">
              <w:rPr>
                <w:b/>
                <w:sz w:val="20"/>
                <w:szCs w:val="20"/>
              </w:rPr>
              <w:t xml:space="preserve"> </w:t>
            </w:r>
          </w:p>
          <w:p w14:paraId="581B30C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1067" w:type="dxa"/>
            <w:vAlign w:val="center"/>
          </w:tcPr>
          <w:p w14:paraId="262C1E7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59A581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D32F494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6DD9366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Номер</w:t>
            </w:r>
          </w:p>
          <w:p w14:paraId="2D6CB4C1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Помещения (условный)</w:t>
            </w:r>
          </w:p>
        </w:tc>
        <w:tc>
          <w:tcPr>
            <w:tcW w:w="2118" w:type="dxa"/>
            <w:vAlign w:val="center"/>
          </w:tcPr>
          <w:p w14:paraId="3E5F1DF7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Наименование</w:t>
            </w:r>
          </w:p>
          <w:p w14:paraId="620D5C01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Помещения</w:t>
            </w:r>
          </w:p>
        </w:tc>
        <w:tc>
          <w:tcPr>
            <w:tcW w:w="2115" w:type="dxa"/>
            <w:vAlign w:val="center"/>
          </w:tcPr>
          <w:p w14:paraId="358F72F2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 xml:space="preserve">Общая (проектная) </w:t>
            </w:r>
          </w:p>
          <w:p w14:paraId="5B398CEC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 xml:space="preserve">площадь </w:t>
            </w:r>
            <w:r w:rsidRPr="0038655A">
              <w:rPr>
                <w:b/>
                <w:sz w:val="20"/>
                <w:szCs w:val="20"/>
              </w:rPr>
              <w:t>Помещения</w:t>
            </w:r>
            <w:r w:rsidRPr="0038655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9E01FD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8655A">
              <w:rPr>
                <w:rFonts w:cs="Arial"/>
                <w:b/>
                <w:sz w:val="20"/>
                <w:szCs w:val="20"/>
              </w:rPr>
              <w:t>кв.м</w:t>
            </w:r>
            <w:proofErr w:type="spellEnd"/>
            <w:r w:rsidRPr="0038655A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7D4C8F" w:rsidRPr="00CA5CF2" w14:paraId="682D56BE" w14:textId="77777777" w:rsidTr="00A408B9">
        <w:trPr>
          <w:trHeight w:val="287"/>
          <w:jc w:val="center"/>
        </w:trPr>
        <w:tc>
          <w:tcPr>
            <w:tcW w:w="1195" w:type="dxa"/>
          </w:tcPr>
          <w:p w14:paraId="6400485C" w14:textId="215E5B1F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067" w:type="dxa"/>
          </w:tcPr>
          <w:p w14:paraId="79E4D6B9" w14:textId="454EC962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22" w:type="dxa"/>
          </w:tcPr>
          <w:p w14:paraId="5B0E6739" w14:textId="16FA539F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8" w:type="dxa"/>
          </w:tcPr>
          <w:p w14:paraId="529AE4D3" w14:textId="2C98906B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5" w:type="dxa"/>
          </w:tcPr>
          <w:p w14:paraId="1B495ACE" w14:textId="4FC7B5C7" w:rsidR="007D4C8F" w:rsidRPr="0038655A" w:rsidRDefault="007D4C8F" w:rsidP="007D4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6F686D3B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>указывается в Приложении № 1 к</w:t>
      </w:r>
      <w:r w:rsidR="006D1D8C">
        <w:rPr>
          <w:sz w:val="22"/>
          <w:szCs w:val="22"/>
          <w:lang w:val="ru-RU"/>
        </w:rPr>
        <w:t xml:space="preserve"> настоящему</w:t>
      </w:r>
      <w:r w:rsidRPr="008F0AB7">
        <w:rPr>
          <w:sz w:val="22"/>
          <w:szCs w:val="22"/>
        </w:rPr>
        <w:t xml:space="preserve">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5B5B83A3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 xml:space="preserve">Стороны пришли к соглашению, что Объект долевого строительства </w:t>
      </w:r>
      <w:r w:rsidRPr="007C0206">
        <w:rPr>
          <w:rFonts w:eastAsia="Calibri"/>
          <w:b/>
          <w:bCs/>
          <w:sz w:val="22"/>
          <w:szCs w:val="22"/>
          <w:u w:val="single"/>
          <w:lang w:eastAsia="en-US"/>
        </w:rPr>
        <w:t>не будет иметь никакой отделки и оборудования</w:t>
      </w:r>
      <w:r w:rsidRPr="007C0206">
        <w:rPr>
          <w:rFonts w:eastAsia="Calibri"/>
          <w:sz w:val="22"/>
          <w:szCs w:val="22"/>
          <w:lang w:eastAsia="en-US"/>
        </w:rPr>
        <w:t>, и будет передано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60D5F49B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устанавливается входной дверной блок;</w:t>
      </w:r>
    </w:p>
    <w:p w14:paraId="0B15C9D6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lastRenderedPageBreak/>
        <w:t xml:space="preserve">- внутренние дверные блоки, в </w:t>
      </w:r>
      <w:proofErr w:type="spellStart"/>
      <w:r w:rsidRPr="007C0206">
        <w:rPr>
          <w:rFonts w:eastAsia="Calibri"/>
          <w:sz w:val="22"/>
          <w:szCs w:val="22"/>
          <w:lang w:eastAsia="en-US"/>
        </w:rPr>
        <w:t>т.ч</w:t>
      </w:r>
      <w:proofErr w:type="spellEnd"/>
      <w:r w:rsidRPr="007C0206">
        <w:rPr>
          <w:rFonts w:eastAsia="Calibri"/>
          <w:sz w:val="22"/>
          <w:szCs w:val="22"/>
          <w:lang w:eastAsia="en-US"/>
        </w:rPr>
        <w:t>. дверные блоки в санузлах не устанавливаются и не поставляются;</w:t>
      </w:r>
    </w:p>
    <w:p w14:paraId="5DECBCF4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внутренняя отделка стен, потолков и выравнивающие стяжки под устройство чистых полов не выполняются;</w:t>
      </w:r>
    </w:p>
    <w:p w14:paraId="5E19CEE8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работы по устройству трубных разводок для подключения сантехнических приборов не выполняются;</w:t>
      </w:r>
    </w:p>
    <w:p w14:paraId="1F237433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 xml:space="preserve">- перегородки, в </w:t>
      </w:r>
      <w:proofErr w:type="spellStart"/>
      <w:r w:rsidRPr="007C0206">
        <w:rPr>
          <w:rFonts w:eastAsia="Calibri"/>
          <w:sz w:val="22"/>
          <w:szCs w:val="22"/>
          <w:lang w:eastAsia="en-US"/>
        </w:rPr>
        <w:t>т.ч</w:t>
      </w:r>
      <w:proofErr w:type="spellEnd"/>
      <w:r w:rsidRPr="007C0206">
        <w:rPr>
          <w:rFonts w:eastAsia="Calibri"/>
          <w:sz w:val="22"/>
          <w:szCs w:val="22"/>
          <w:lang w:eastAsia="en-US"/>
        </w:rPr>
        <w:t xml:space="preserve">. перегородки санузлов и коммуникационных шахт, выполняются трассировкой на высоту не более 300 мм; </w:t>
      </w:r>
    </w:p>
    <w:p w14:paraId="2E2D7ACE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сантехническое оборудование (умывальники, унитазы и т.д.) – не устанавливаются;</w:t>
      </w:r>
    </w:p>
    <w:p w14:paraId="21CD061B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выполняется монтаж стояков холодного и горячего водоснабжения с отводами, оканчивающимися шаровым краном и заглушкой, без разводки трубопровода до мест установки и подключения сантехнического оборудования (умывальников, унитазов и т.д.);</w:t>
      </w:r>
    </w:p>
    <w:p w14:paraId="51700868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выполняются стояки канализации без разводки трубопроводов до мест установки и подключения сантехнического оборудования (умывальников, унитазов и т.д.), с установкой поэтажных заглушек;</w:t>
      </w:r>
    </w:p>
    <w:p w14:paraId="51FF6C60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выполняются системы отопления в полном объеме с установкой отопительных приборов;</w:t>
      </w:r>
    </w:p>
    <w:p w14:paraId="4EED7C9C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выполняется устройство воздушно-тепловой завесы для каждого входа (при отсутствии тамбура) с водяным типом нагрева в комплекте с автоматикой и узлом смешения (для помещений с воздушно тепловой завесой в составе с электрическим нагревателем данные мероприятия не выполняются, тип нагрева определён проектной документацией);</w:t>
      </w:r>
    </w:p>
    <w:p w14:paraId="07D24F6E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монтаж и допуск электроустановки Объекта долевого строительства, по отдельному согласованному в установленном порядке проекту в полном объеме с установкой оконечных устройств и подключением по постоянной схеме, выполняется Участником долевого строительства;</w:t>
      </w:r>
    </w:p>
    <w:p w14:paraId="2A3DF1E0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монтаж наружных и внутренних блоков кондиционирования (в специально отведенных местах), подводящие/питающие/отводящие коммуникации выполняются силами Участника долевого строительства;</w:t>
      </w:r>
    </w:p>
    <w:p w14:paraId="2574D9B8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кабельная линия электроснабжения доводится до щита механизации;</w:t>
      </w:r>
    </w:p>
    <w:p w14:paraId="0ED13C4B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работы по устройству дополнительного уравнивания потенциалов в помещениях Объекта долевого строительства не выполняется;</w:t>
      </w:r>
    </w:p>
    <w:p w14:paraId="0C02B190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- устанавливается электрический щиток для механизации отделочных работ, с установкой аппарата, ограничивающего потребление электроэнергии;</w:t>
      </w:r>
    </w:p>
    <w:p w14:paraId="055AAD6C" w14:textId="541FDB74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 xml:space="preserve">- устанавливается </w:t>
      </w:r>
      <w:r w:rsidRPr="007C0206">
        <w:rPr>
          <w:rFonts w:eastAsia="Calibri"/>
          <w:iCs/>
          <w:sz w:val="22"/>
          <w:szCs w:val="22"/>
          <w:lang w:eastAsia="en-US"/>
        </w:rPr>
        <w:t xml:space="preserve">система пожарной сигнализации (общедомовая) и оповещения о пожаре (совмещенная </w:t>
      </w:r>
      <w:r w:rsidRPr="007C0206">
        <w:rPr>
          <w:rFonts w:eastAsia="Calibri"/>
          <w:iCs/>
          <w:sz w:val="22"/>
          <w:szCs w:val="22"/>
          <w:lang w:val="en-US" w:eastAsia="en-US"/>
        </w:rPr>
        <w:t>c</w:t>
      </w:r>
      <w:r w:rsidRPr="007C0206">
        <w:rPr>
          <w:rFonts w:eastAsia="Calibri"/>
          <w:iCs/>
          <w:sz w:val="22"/>
          <w:szCs w:val="22"/>
          <w:lang w:eastAsia="en-US"/>
        </w:rPr>
        <w:t xml:space="preserve"> системой оповещения </w:t>
      </w:r>
      <w:proofErr w:type="spellStart"/>
      <w:r w:rsidRPr="007C0206">
        <w:rPr>
          <w:rFonts w:eastAsia="Calibri"/>
          <w:iCs/>
          <w:sz w:val="22"/>
          <w:szCs w:val="22"/>
          <w:lang w:eastAsia="en-US"/>
        </w:rPr>
        <w:t>ГОиЧС</w:t>
      </w:r>
      <w:proofErr w:type="spellEnd"/>
      <w:r w:rsidRPr="007C0206">
        <w:rPr>
          <w:rFonts w:eastAsia="Calibri"/>
          <w:sz w:val="22"/>
          <w:szCs w:val="22"/>
          <w:lang w:eastAsia="en-US"/>
        </w:rPr>
        <w:t>;</w:t>
      </w:r>
    </w:p>
    <w:p w14:paraId="02BBC501" w14:textId="77777777" w:rsidR="007C0206" w:rsidRPr="007C0206" w:rsidRDefault="007C0206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C0206">
        <w:rPr>
          <w:rFonts w:eastAsia="Calibri"/>
          <w:sz w:val="22"/>
          <w:szCs w:val="22"/>
          <w:lang w:eastAsia="en-US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</w:p>
    <w:p w14:paraId="7B1CECE0" w14:textId="788176C0" w:rsidR="008F0AB7" w:rsidRPr="00CB33CA" w:rsidRDefault="007C0206" w:rsidP="007C02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C0206">
        <w:rPr>
          <w:rFonts w:eastAsia="Calibri"/>
          <w:sz w:val="22"/>
          <w:szCs w:val="22"/>
          <w:lang w:eastAsia="en-US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7C0206">
        <w:rPr>
          <w:rFonts w:eastAsia="Calibri"/>
          <w:b/>
          <w:bCs/>
          <w:sz w:val="22"/>
          <w:szCs w:val="22"/>
          <w:lang w:eastAsia="en-US"/>
        </w:rPr>
        <w:t>«проектная документация»</w:t>
      </w:r>
      <w:r w:rsidRPr="007C0206">
        <w:rPr>
          <w:rFonts w:eastAsia="Calibri"/>
          <w:sz w:val="22"/>
          <w:szCs w:val="22"/>
          <w:lang w:eastAsia="en-US"/>
        </w:rPr>
        <w:t>) и принимает комплектность строительства в целом.</w:t>
      </w:r>
    </w:p>
    <w:p w14:paraId="06A10182" w14:textId="34303800" w:rsidR="001844AA" w:rsidRPr="0007030B" w:rsidRDefault="001844AA" w:rsidP="001844A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>1.</w:t>
      </w:r>
      <w:r>
        <w:rPr>
          <w:rFonts w:ascii="Times New Roman" w:hAnsi="Times New Roman" w:cs="Times New Roman"/>
          <w:b/>
          <w:sz w:val="22"/>
          <w:szCs w:val="22"/>
          <w:highlight w:val="cyan"/>
        </w:rPr>
        <w:t>2</w:t>
      </w: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. </w:t>
      </w:r>
      <w:r w:rsidR="007D4C8F" w:rsidRPr="007D4C8F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</w:t>
      </w:r>
      <w:r w:rsidRPr="0007030B">
        <w:rPr>
          <w:rFonts w:ascii="Times New Roman" w:hAnsi="Times New Roman"/>
          <w:sz w:val="22"/>
          <w:szCs w:val="22"/>
        </w:rPr>
        <w:t xml:space="preserve">  </w:t>
      </w:r>
    </w:p>
    <w:p w14:paraId="0D95D4A4" w14:textId="77777777" w:rsidR="00B14608" w:rsidRPr="004E227E" w:rsidRDefault="001D25FB" w:rsidP="00B14608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B14608">
        <w:rPr>
          <w:sz w:val="22"/>
          <w:szCs w:val="22"/>
        </w:rPr>
        <w:t>з</w:t>
      </w:r>
      <w:r w:rsidR="00B14608" w:rsidRPr="004E227E">
        <w:rPr>
          <w:sz w:val="22"/>
          <w:szCs w:val="22"/>
        </w:rPr>
        <w:t xml:space="preserve">емельный участок, в части </w:t>
      </w:r>
      <w:r w:rsidR="00B14608">
        <w:rPr>
          <w:sz w:val="22"/>
          <w:szCs w:val="22"/>
        </w:rPr>
        <w:t>з</w:t>
      </w:r>
      <w:r w:rsidR="00B14608" w:rsidRPr="004E227E">
        <w:rPr>
          <w:sz w:val="22"/>
          <w:szCs w:val="22"/>
        </w:rPr>
        <w:t>емельного участка, указанного в п. 1.1 Договора:</w:t>
      </w:r>
    </w:p>
    <w:p w14:paraId="480B4D60" w14:textId="77777777" w:rsidR="00B14608" w:rsidRPr="004E227E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4A445BF" w:rsidR="001D25FB" w:rsidRPr="00CB33CA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lastRenderedPageBreak/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783F4205" w14:textId="77777777" w:rsidR="00B505F2" w:rsidRPr="004D0D87" w:rsidRDefault="00B505F2" w:rsidP="00B505F2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85B1C19" w14:textId="77777777" w:rsidR="00B14608" w:rsidRPr="004E227E" w:rsidRDefault="00B505F2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B14608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7A51B9E7" w14:textId="52435DFD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7D4C8F">
        <w:rPr>
          <w:b/>
          <w:bCs/>
          <w:sz w:val="22"/>
          <w:szCs w:val="22"/>
          <w:highlight w:val="cyan"/>
        </w:rPr>
        <w:t>ХХХХХ</w:t>
      </w:r>
      <w:r w:rsidRPr="004E227E">
        <w:rPr>
          <w:color w:val="000000"/>
          <w:sz w:val="22"/>
          <w:szCs w:val="22"/>
        </w:rPr>
        <w:t>;</w:t>
      </w:r>
    </w:p>
    <w:p w14:paraId="2C55D66B" w14:textId="77777777" w:rsidR="00B14608" w:rsidRPr="004E227E" w:rsidRDefault="00B14608" w:rsidP="00B14608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740F9851" w14:textId="77777777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15534647" w14:textId="77777777" w:rsidR="00B14608" w:rsidRPr="004E227E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6BBC62B" w14:textId="77777777" w:rsidR="00B14608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5CAE382F" w14:textId="77777777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22AE57BD" w:rsidR="007A2B10" w:rsidRPr="00CB33CA" w:rsidRDefault="00B14608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B505F2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14862E3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6D1D8C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66DB9DE4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B14608" w:rsidRPr="004E227E">
        <w:rPr>
          <w:b/>
          <w:sz w:val="22"/>
          <w:szCs w:val="22"/>
        </w:rPr>
        <w:t>Доля участия»</w:t>
      </w:r>
      <w:r w:rsidR="00B14608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lastRenderedPageBreak/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479D15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0042C" w:rsidRPr="00E0042C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679711E4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74EA01D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7C0206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00A805ED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35020A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или Законом возлагаются </w:t>
      </w:r>
      <w:r w:rsidRPr="00CB33CA">
        <w:rPr>
          <w:sz w:val="22"/>
          <w:szCs w:val="22"/>
        </w:rPr>
        <w:lastRenderedPageBreak/>
        <w:t>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6DBD67FD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6D1D8C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6D1D8C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6D1D8C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52F26068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98C6E74" w14:textId="490772B5" w:rsidR="00B505F2" w:rsidRPr="00474C18" w:rsidRDefault="00B505F2" w:rsidP="00B505F2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3B7625EB" w14:textId="77777777" w:rsidR="00B505F2" w:rsidRPr="00AF1D5F" w:rsidRDefault="00B505F2" w:rsidP="00B505F2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3E9970AD" w14:textId="422CC246" w:rsidR="00B505F2" w:rsidRDefault="007D4C8F" w:rsidP="00B505F2">
      <w:pPr>
        <w:autoSpaceDE w:val="0"/>
        <w:autoSpaceDN w:val="0"/>
        <w:ind w:firstLine="567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</w:p>
    <w:p w14:paraId="1F84818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396ADCDC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53A7A735" w14:textId="7D0C0009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1D0E11">
        <w:rPr>
          <w:b/>
          <w:bCs/>
          <w:sz w:val="22"/>
          <w:szCs w:val="22"/>
          <w:highlight w:val="cyan"/>
        </w:rPr>
        <w:t>;</w:t>
      </w:r>
    </w:p>
    <w:p w14:paraId="61C67A70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65400E4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2FB2FB6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006275D5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5C4F2BB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644C11CC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5553A7EF" w14:textId="77777777" w:rsidR="00B505F2" w:rsidRPr="004D00FA" w:rsidRDefault="00B505F2" w:rsidP="00B505F2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D00FA">
        <w:rPr>
          <w:bCs/>
          <w:sz w:val="22"/>
          <w:szCs w:val="22"/>
        </w:rPr>
        <w:t>эскроу</w:t>
      </w:r>
      <w:proofErr w:type="spellEnd"/>
      <w:r w:rsidRPr="004D00FA">
        <w:rPr>
          <w:bCs/>
          <w:sz w:val="22"/>
          <w:szCs w:val="22"/>
        </w:rPr>
        <w:t>;</w:t>
      </w:r>
      <w:r w:rsidRPr="004D00FA">
        <w:rPr>
          <w:sz w:val="22"/>
        </w:rPr>
        <w:t xml:space="preserve"> </w:t>
      </w:r>
    </w:p>
    <w:p w14:paraId="055E5A17" w14:textId="77777777" w:rsidR="00B505F2" w:rsidRPr="007D4C8F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</w:t>
      </w:r>
      <w:r w:rsidRPr="007D4C8F">
        <w:rPr>
          <w:sz w:val="22"/>
          <w:szCs w:val="22"/>
        </w:rPr>
        <w:t xml:space="preserve">Банк Получателя –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0FB2C4CD" w14:textId="77777777" w:rsidR="00B505F2" w:rsidRPr="007D4C8F" w:rsidRDefault="00B505F2" w:rsidP="00B505F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5834B8E6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79A633E1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7D4C8F">
        <w:rPr>
          <w:rFonts w:eastAsia="Calibri"/>
          <w:sz w:val="22"/>
          <w:szCs w:val="22"/>
          <w:lang w:eastAsia="en-US"/>
        </w:rPr>
        <w:t xml:space="preserve"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</w:t>
      </w:r>
      <w:r w:rsidRPr="007D4C8F">
        <w:rPr>
          <w:rFonts w:eastAsia="Calibri"/>
          <w:sz w:val="22"/>
          <w:szCs w:val="22"/>
          <w:lang w:eastAsia="en-US"/>
        </w:rPr>
        <w:lastRenderedPageBreak/>
        <w:t>соответствии с требованиями действующего законодательства, содержащей сведения о государственной регистрации Договора.</w:t>
      </w:r>
    </w:p>
    <w:p w14:paraId="78214741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 xml:space="preserve">- 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, открытый в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7D4C8F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. </w:t>
      </w:r>
    </w:p>
    <w:p w14:paraId="2FB78705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2EC38EC7" w14:textId="77777777" w:rsidR="00B505F2" w:rsidRPr="007D4C8F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1F493878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Закрытие аккредитива</w:t>
      </w:r>
      <w:r w:rsidRPr="004D00FA">
        <w:rPr>
          <w:snapToGrid w:val="0"/>
          <w:color w:val="000000"/>
          <w:sz w:val="22"/>
          <w:szCs w:val="22"/>
        </w:rPr>
        <w:t xml:space="preserve"> производится:</w:t>
      </w:r>
    </w:p>
    <w:p w14:paraId="570814B5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6C0F37A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1ED7AC1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52F273E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3A564F6C" w14:textId="77777777" w:rsidR="00B505F2" w:rsidRPr="004D00FA" w:rsidRDefault="00B505F2" w:rsidP="00B505F2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C31B389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4D00FA">
        <w:rPr>
          <w:snapToGrid w:val="0"/>
          <w:color w:val="000000"/>
          <w:sz w:val="22"/>
          <w:szCs w:val="22"/>
        </w:rPr>
        <w:t>эскроу</w:t>
      </w:r>
      <w:proofErr w:type="spellEnd"/>
      <w:r w:rsidRPr="004D00FA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9C14551" w14:textId="2487C491" w:rsidR="00B505F2" w:rsidRPr="004D00FA" w:rsidRDefault="007D4C8F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  <w:r w:rsidR="00B505F2" w:rsidRPr="001B0BDD">
        <w:rPr>
          <w:sz w:val="22"/>
          <w:szCs w:val="22"/>
        </w:rPr>
        <w:t>.</w:t>
      </w:r>
    </w:p>
    <w:p w14:paraId="468D1742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в целях уплаты Доли участия является:</w:t>
      </w:r>
    </w:p>
    <w:p w14:paraId="2DC208DB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07DA9726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Pr="004D00FA">
        <w:rPr>
          <w:color w:val="212121"/>
          <w:sz w:val="22"/>
          <w:szCs w:val="22"/>
        </w:rPr>
        <w:t>г. Москва; адрес: 117997, г. Москва, ул. Вавилова, д. 19</w:t>
      </w:r>
      <w:r w:rsidRPr="004D00FA">
        <w:rPr>
          <w:sz w:val="22"/>
          <w:szCs w:val="22"/>
        </w:rPr>
        <w:t>;</w:t>
      </w:r>
    </w:p>
    <w:p w14:paraId="67E53B42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1D0E11">
        <w:rPr>
          <w:rStyle w:val="ae"/>
          <w:sz w:val="22"/>
          <w:szCs w:val="22"/>
          <w:u w:val="none"/>
        </w:rPr>
        <w:t>;</w:t>
      </w:r>
    </w:p>
    <w:p w14:paraId="601F447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Pr="004D00FA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Pr="004D00FA">
        <w:rPr>
          <w:sz w:val="22"/>
          <w:szCs w:val="22"/>
        </w:rPr>
        <w:t>.</w:t>
      </w:r>
    </w:p>
    <w:p w14:paraId="32E4D5E3" w14:textId="2A9376BB" w:rsidR="00F7116C" w:rsidRPr="001B0BDD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3C63FDB7" w14:textId="77777777" w:rsidR="0035020A" w:rsidRPr="00CB33CA" w:rsidRDefault="0035020A" w:rsidP="0035020A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E2A86">
        <w:rPr>
          <w:b/>
          <w:sz w:val="22"/>
          <w:szCs w:val="22"/>
        </w:rPr>
        <w:t>4.3.</w:t>
      </w:r>
      <w:r w:rsidRPr="004E2A86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</w:t>
      </w:r>
      <w:r w:rsidRPr="00CB33CA">
        <w:rPr>
          <w:sz w:val="22"/>
          <w:szCs w:val="22"/>
        </w:rPr>
        <w:t xml:space="preserve"> строительства</w:t>
      </w:r>
      <w:r>
        <w:rPr>
          <w:sz w:val="22"/>
          <w:szCs w:val="22"/>
        </w:rPr>
        <w:t>, указанной в п. 4.1. Договора</w:t>
      </w:r>
      <w:r w:rsidRPr="00CB33CA">
        <w:rPr>
          <w:sz w:val="22"/>
          <w:szCs w:val="22"/>
        </w:rPr>
        <w:t>. При расхождении площади Объекта долевого строительства в сторону увеличения или уменьшения, определенной по данным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проектной площадью Объекта долевого строительства, стороны производят дополнительные расчеты в следующем порядке: </w:t>
      </w:r>
    </w:p>
    <w:p w14:paraId="486858A5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 w:rsidRPr="00CB33CA">
        <w:rPr>
          <w:sz w:val="22"/>
          <w:szCs w:val="22"/>
        </w:rPr>
        <w:t>.</w:t>
      </w:r>
    </w:p>
    <w:p w14:paraId="661D90F3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174EA068" w14:textId="77777777" w:rsidR="0035020A" w:rsidRPr="004E2A86" w:rsidRDefault="0035020A" w:rsidP="0035020A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</w:t>
      </w:r>
      <w:r w:rsidRPr="00091E5B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частей</w:t>
      </w:r>
      <w:r w:rsidRPr="00091E5B">
        <w:rPr>
          <w:sz w:val="22"/>
          <w:szCs w:val="22"/>
        </w:rPr>
        <w:t xml:space="preserve"> помещений </w:t>
      </w:r>
      <w:r w:rsidRPr="00CB33CA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других </w:t>
      </w:r>
      <w:r>
        <w:rPr>
          <w:sz w:val="22"/>
          <w:szCs w:val="22"/>
        </w:rPr>
        <w:t>частей</w:t>
      </w:r>
      <w:r w:rsidRPr="00CB33CA">
        <w:rPr>
          <w:sz w:val="22"/>
          <w:szCs w:val="22"/>
        </w:rPr>
        <w:t xml:space="preserve">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FD6F044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6D1D8C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35ED47F" w14:textId="7FB8F881" w:rsidR="0035020A" w:rsidRPr="00B14608" w:rsidRDefault="0035020A" w:rsidP="003502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</w:t>
      </w:r>
      <w:r>
        <w:rPr>
          <w:rFonts w:ascii="Times New Roman" w:hAnsi="Times New Roman" w:cs="Times New Roman"/>
          <w:sz w:val="22"/>
          <w:szCs w:val="22"/>
        </w:rPr>
        <w:t>мым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</w:t>
      </w:r>
      <w:r w:rsidRPr="00B14608">
        <w:rPr>
          <w:rFonts w:ascii="Times New Roman" w:hAnsi="Times New Roman" w:cs="Times New Roman"/>
          <w:sz w:val="22"/>
          <w:szCs w:val="22"/>
        </w:rPr>
        <w:t>нормативных документов.</w:t>
      </w:r>
    </w:p>
    <w:p w14:paraId="2ABA3F4E" w14:textId="77777777" w:rsidR="0045328F" w:rsidRPr="00B14608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6860FCBB" w14:textId="77777777" w:rsidR="00B14608" w:rsidRPr="00B14608" w:rsidRDefault="00CB33CA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BCC749D" w14:textId="77777777" w:rsidR="00B14608" w:rsidRPr="00B14608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DA28D58" w14:textId="77777777" w:rsidR="00B14608" w:rsidRPr="004E227E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</w:t>
      </w:r>
      <w:r w:rsidRPr="004E227E">
        <w:rPr>
          <w:sz w:val="22"/>
          <w:szCs w:val="22"/>
        </w:rPr>
        <w:t xml:space="preserve"> 5 (Пять) лет. </w:t>
      </w:r>
    </w:p>
    <w:p w14:paraId="68C91629" w14:textId="00152870" w:rsidR="00C10C6D" w:rsidRPr="001B0BDD" w:rsidRDefault="00B14608" w:rsidP="00B146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1F06E5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7D4C8F" w:rsidRPr="007D4C8F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62105D10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D1D8C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BD75098" w14:textId="77777777" w:rsidR="00B14608" w:rsidRPr="00B14608" w:rsidRDefault="0045328F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lastRenderedPageBreak/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B14608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B14608" w:rsidRPr="00B1460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B14608" w:rsidRPr="00B14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B14608" w:rsidRPr="00B14608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B14608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2E3B9C74" w:rsidR="002F69DA" w:rsidRPr="00B14608" w:rsidRDefault="00B14608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B14608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</w:t>
      </w:r>
      <w:r w:rsidRPr="001B0BDD">
        <w:rPr>
          <w:rFonts w:ascii="Times New Roman" w:hAnsi="Times New Roman" w:cs="Times New Roman"/>
          <w:sz w:val="22"/>
          <w:szCs w:val="22"/>
        </w:rPr>
        <w:t xml:space="preserve">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B14608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односторонний акт или иной документ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B14608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B14608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B14608">
        <w:rPr>
          <w:rFonts w:ascii="Times New Roman" w:hAnsi="Times New Roman" w:cs="Times New Roman"/>
          <w:sz w:val="22"/>
          <w:szCs w:val="22"/>
        </w:rPr>
        <w:t>ю</w:t>
      </w:r>
      <w:r w:rsidRPr="00B14608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B14608">
        <w:rPr>
          <w:rFonts w:ascii="Times New Roman" w:hAnsi="Times New Roman" w:cs="Times New Roman"/>
          <w:sz w:val="22"/>
          <w:szCs w:val="22"/>
        </w:rPr>
        <w:t>и</w:t>
      </w:r>
      <w:r w:rsidRPr="00B14608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B1460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997D6C" w14:textId="77777777" w:rsidR="00B14608" w:rsidRPr="00B14608" w:rsidRDefault="00CB33CA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B14608" w:rsidRPr="00B14608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C6D5CB8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1) безвозмездного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устранения недостатков в разумный срок;</w:t>
      </w:r>
    </w:p>
    <w:p w14:paraId="6A8AD96E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6BC441F3" w:rsidR="0045328F" w:rsidRPr="001B0BDD" w:rsidRDefault="00B14608" w:rsidP="00B1460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5F842DF4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664E5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3097B668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в том числе осуще</w:t>
      </w:r>
      <w:r w:rsidR="006D1D8C">
        <w:rPr>
          <w:sz w:val="22"/>
          <w:szCs w:val="22"/>
        </w:rPr>
        <w:t>ствления полного расчета между 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200A1774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6D1D8C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312B22A8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7ADF56A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B505F2" w:rsidRPr="00B505F2">
        <w:rPr>
          <w:b/>
          <w:bCs/>
          <w:sz w:val="22"/>
          <w:szCs w:val="22"/>
        </w:rPr>
        <w:t>Обстоятельства непреодолимой силы</w:t>
      </w:r>
    </w:p>
    <w:p w14:paraId="471C489F" w14:textId="77777777" w:rsidR="00B505F2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10.1. </w:t>
      </w:r>
      <w:r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231ACF16" w:rsidR="0045328F" w:rsidRPr="001B0BDD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10.2. </w:t>
      </w:r>
      <w:r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6BFCF22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4344649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7D4C8F" w:rsidRPr="007D4C8F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3EF8D5D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B14608">
        <w:rPr>
          <w:sz w:val="22"/>
          <w:szCs w:val="22"/>
        </w:rPr>
        <w:t>о</w:t>
      </w:r>
      <w:r w:rsidR="00B14608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B14608">
        <w:rPr>
          <w:sz w:val="22"/>
          <w:szCs w:val="22"/>
        </w:rPr>
        <w:t>многоквартирного дома</w:t>
      </w:r>
      <w:r w:rsidR="00B14608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B14608">
        <w:rPr>
          <w:sz w:val="22"/>
          <w:szCs w:val="22"/>
        </w:rPr>
        <w:t xml:space="preserve"> долевого строительства </w:t>
      </w:r>
      <w:r w:rsidR="00B14608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B14608">
        <w:rPr>
          <w:sz w:val="22"/>
          <w:szCs w:val="22"/>
        </w:rPr>
        <w:t xml:space="preserve">от </w:t>
      </w:r>
      <w:r w:rsidR="00B14608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41E32F3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6D1D8C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6D1D8C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95DAAC5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3FE7EF7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7483431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7DF3DC2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702CCAB" w:rsidR="0045328F" w:rsidRPr="00B505F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 xml:space="preserve">, должны быть адресованы соответствующей стороне и доставляться по указанным ниже адресам либо иному адресу, </w:t>
      </w:r>
      <w:r w:rsidR="0045328F" w:rsidRPr="001B0BDD">
        <w:rPr>
          <w:sz w:val="22"/>
          <w:szCs w:val="22"/>
        </w:rPr>
        <w:lastRenderedPageBreak/>
        <w:t xml:space="preserve">сообщенному соответствующей стороной </w:t>
      </w:r>
      <w:r w:rsidR="0045328F" w:rsidRPr="00B505F2">
        <w:rPr>
          <w:sz w:val="22"/>
          <w:szCs w:val="22"/>
        </w:rPr>
        <w:t>другой стороне в письменно</w:t>
      </w:r>
      <w:r w:rsidR="009457B9" w:rsidRPr="00B505F2">
        <w:rPr>
          <w:sz w:val="22"/>
          <w:szCs w:val="22"/>
        </w:rPr>
        <w:t>й</w:t>
      </w:r>
      <w:r w:rsidR="0045328F" w:rsidRPr="00B505F2">
        <w:rPr>
          <w:sz w:val="22"/>
          <w:szCs w:val="22"/>
        </w:rPr>
        <w:t xml:space="preserve"> </w:t>
      </w:r>
      <w:r w:rsidR="009457B9" w:rsidRPr="00B505F2">
        <w:rPr>
          <w:sz w:val="22"/>
          <w:szCs w:val="22"/>
        </w:rPr>
        <w:t>форме</w:t>
      </w:r>
      <w:r w:rsidR="0045328F" w:rsidRPr="00B505F2">
        <w:rPr>
          <w:sz w:val="22"/>
          <w:szCs w:val="22"/>
        </w:rPr>
        <w:t xml:space="preserve">. </w:t>
      </w:r>
    </w:p>
    <w:p w14:paraId="17F9C3A7" w14:textId="6320BDA1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505F2">
        <w:rPr>
          <w:sz w:val="22"/>
          <w:szCs w:val="22"/>
        </w:rPr>
        <w:t xml:space="preserve">Уведомления Застройщику направляются по адресу: </w:t>
      </w:r>
      <w:r w:rsidR="00B505F2" w:rsidRPr="00B505F2">
        <w:rPr>
          <w:b/>
          <w:bCs/>
          <w:sz w:val="22"/>
          <w:szCs w:val="22"/>
        </w:rPr>
        <w:t xml:space="preserve">115280, г. Москва ул. Автозаводская, д. 22, </w:t>
      </w:r>
      <w:proofErr w:type="spellStart"/>
      <w:r w:rsidR="00B505F2" w:rsidRPr="00B505F2">
        <w:rPr>
          <w:b/>
          <w:bCs/>
          <w:sz w:val="22"/>
          <w:szCs w:val="22"/>
        </w:rPr>
        <w:t>эт</w:t>
      </w:r>
      <w:proofErr w:type="spellEnd"/>
      <w:r w:rsidR="00B505F2" w:rsidRPr="00B505F2">
        <w:rPr>
          <w:b/>
          <w:bCs/>
          <w:sz w:val="22"/>
          <w:szCs w:val="22"/>
        </w:rPr>
        <w:t>. 2, пом. V, ком. 236.</w:t>
      </w:r>
    </w:p>
    <w:p w14:paraId="1DA0AA4C" w14:textId="72747E59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654EB949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025BE1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025BE1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025BE1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2348980C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B14608">
        <w:rPr>
          <w:sz w:val="22"/>
          <w:szCs w:val="22"/>
        </w:rPr>
        <w:t>.</w:t>
      </w:r>
      <w:bookmarkStart w:id="0" w:name="_GoBack"/>
      <w:bookmarkEnd w:id="0"/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580EC093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6D1D8C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45A71B16" w14:textId="77777777" w:rsidR="00B505F2" w:rsidRPr="006B22EC" w:rsidRDefault="00B505F2" w:rsidP="00B505F2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36C6FB33" w14:textId="77777777" w:rsidR="00B505F2" w:rsidRPr="006B22EC" w:rsidRDefault="00B505F2" w:rsidP="00B505F2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0A9FB610" w14:textId="77777777" w:rsidR="00B505F2" w:rsidRPr="006B22EC" w:rsidRDefault="00B505F2" w:rsidP="00B505F2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6F3D6E99" w14:textId="77777777" w:rsidR="00B14608" w:rsidRPr="004E227E" w:rsidRDefault="00B14608" w:rsidP="00B14608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22C8C49E" w14:textId="77777777" w:rsidR="00B14608" w:rsidRDefault="00B14608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highlight w:val="cyan"/>
        </w:rPr>
      </w:pPr>
    </w:p>
    <w:p w14:paraId="42AA8177" w14:textId="2B4F13E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72F3B2AD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202171CB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6C15C5A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09995FD1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77B2E11F" w14:textId="74730E7C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35020A">
        <w:rPr>
          <w:b/>
          <w:sz w:val="22"/>
          <w:szCs w:val="22"/>
        </w:rPr>
        <w:t>Помещения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6EBE33B0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27EC77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2B02AAEF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B14608">
      <w:rPr>
        <w:noProof/>
        <w:sz w:val="20"/>
      </w:rPr>
      <w:t>12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6D4A03B8"/>
    <w:multiLevelType w:val="hybridMultilevel"/>
    <w:tmpl w:val="ADE6F0A4"/>
    <w:lvl w:ilvl="0" w:tplc="F142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5BE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97F38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44AA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20A"/>
    <w:rsid w:val="003503DA"/>
    <w:rsid w:val="00353EDB"/>
    <w:rsid w:val="003556C3"/>
    <w:rsid w:val="00356183"/>
    <w:rsid w:val="00357C77"/>
    <w:rsid w:val="00361A72"/>
    <w:rsid w:val="003633CD"/>
    <w:rsid w:val="003664E5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0BBE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883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D8C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206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4C8F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AC2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608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5F2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042C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9711-34A6-4E7A-ACFA-908E88E3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5647</Words>
  <Characters>42106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47658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Казакова Наталья Николаевна</cp:lastModifiedBy>
  <cp:revision>14</cp:revision>
  <cp:lastPrinted>2021-12-17T07:37:00Z</cp:lastPrinted>
  <dcterms:created xsi:type="dcterms:W3CDTF">2022-01-12T12:03:00Z</dcterms:created>
  <dcterms:modified xsi:type="dcterms:W3CDTF">2022-08-18T09:08:00Z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