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Б/В-{{f_bs}}/{{f_num}}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223.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«СК АЙ КЬЮ ДЕВЕЛОПМЕНТ»,</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Раковой Дарьи Николаевны, действующей на основании доверенности 16 АА 7331364, 16 АА 7331365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16/155-н/16-2022-21-300,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29 168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Республика Татарстан, г. Казань, Советский район, ул. Бухарская, д. 32, кадастровый № </w:t>
      </w:r>
      <w:r w:rsidDel="00000000" w:rsidR="00000000" w:rsidRPr="00000000">
        <w:rPr>
          <w:rFonts w:ascii="Times New Roman" w:cs="Times New Roman" w:eastAsia="Times New Roman" w:hAnsi="Times New Roman"/>
          <w:b w:val="1"/>
          <w:sz w:val="24"/>
          <w:szCs w:val="24"/>
          <w:rtl w:val="0"/>
        </w:rPr>
        <w:t xml:space="preserve">16:50:000000:25621</w:t>
      </w:r>
      <w:r w:rsidDel="00000000" w:rsidR="00000000" w:rsidRPr="00000000">
        <w:rPr>
          <w:rFonts w:ascii="Times New Roman" w:cs="Times New Roman" w:eastAsia="Times New Roman" w:hAnsi="Times New Roman"/>
          <w:sz w:val="24"/>
          <w:szCs w:val="24"/>
          <w:rtl w:val="0"/>
        </w:rPr>
        <w:t xml:space="preserve">, принадлежащий Застройщику на праве собственности, что подтверждается записью государственной регистрации права № 16:50:000000:25621-16/016/2020-1 от «16» июня 2020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w:t>
      </w:r>
      <w:r w:rsidDel="00000000" w:rsidR="00000000" w:rsidRPr="00000000">
        <w:rPr>
          <w:rFonts w:ascii="Times New Roman" w:cs="Times New Roman" w:eastAsia="Times New Roman" w:hAnsi="Times New Roman"/>
          <w:sz w:val="24"/>
          <w:szCs w:val="24"/>
          <w:rtl w:val="0"/>
        </w:rPr>
        <w:t xml:space="preserve">№ ДИ-85200232/1 от «24» декабря 2020 г., запись государственной регистрации ипотеки № 16:50:000000:25621-16/203/2020-144 от «26» декабря 2020 г.</w:t>
      </w:r>
      <w:r w:rsidDel="00000000" w:rsidR="00000000" w:rsidRPr="00000000">
        <w:rPr>
          <w:rFonts w:ascii="Times New Roman" w:cs="Times New Roman" w:eastAsia="Times New Roman" w:hAnsi="Times New Roman"/>
          <w:color w:val="000000"/>
          <w:sz w:val="24"/>
          <w:szCs w:val="24"/>
          <w:rtl w:val="0"/>
        </w:rPr>
        <w:t xml:space="preserve"> При этом от ПАО Сбербанк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r w:rsidDel="00000000" w:rsidR="00000000" w:rsidRPr="00000000">
        <w:rPr>
          <w:rtl w:val="0"/>
        </w:rPr>
      </w:r>
    </w:p>
    <w:p w:rsidR="00000000" w:rsidDel="00000000" w:rsidP="00000000" w:rsidRDefault="00000000" w:rsidRPr="00000000" w14:paraId="00000010">
      <w:pPr>
        <w:widowControl w:val="1"/>
        <w:ind w:firstLine="54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16:50:000000:25621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sz w:val="24"/>
          <w:szCs w:val="24"/>
          <w:rtl w:val="0"/>
        </w:rPr>
        <w:t xml:space="preserve">«Жилой комплекс по ул. Бухарская, г. Казань, РТ» 3 очередь строительства</w:t>
      </w:r>
      <w:r w:rsidDel="00000000" w:rsidR="00000000" w:rsidRPr="00000000">
        <w:rPr>
          <w:rFonts w:ascii="Times New Roman" w:cs="Times New Roman" w:eastAsia="Times New Roman" w:hAnsi="Times New Roman"/>
          <w:sz w:val="24"/>
          <w:szCs w:val="24"/>
          <w:rtl w:val="0"/>
        </w:rPr>
        <w:t xml:space="preserve">, общей площадью 84 183,27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w:t>
      </w:r>
      <w:r w:rsidDel="00000000" w:rsidR="00000000" w:rsidRPr="00000000">
        <w:rPr>
          <w:rFonts w:ascii="Times New Roman" w:cs="Times New Roman" w:eastAsia="Times New Roman" w:hAnsi="Times New Roman"/>
          <w:sz w:val="24"/>
          <w:szCs w:val="24"/>
          <w:u w:val="single"/>
          <w:rtl w:val="0"/>
        </w:rPr>
        <w:t xml:space="preserve">количество этажей</w:t>
      </w:r>
      <w:r w:rsidDel="00000000" w:rsidR="00000000" w:rsidRPr="00000000">
        <w:rPr>
          <w:rFonts w:ascii="Times New Roman" w:cs="Times New Roman" w:eastAsia="Times New Roman" w:hAnsi="Times New Roman"/>
          <w:sz w:val="24"/>
          <w:szCs w:val="24"/>
          <w:rtl w:val="0"/>
        </w:rPr>
        <w:t xml:space="preserve">: корпус А-Б-В/Г-Д-Е – 2,4,6,27/18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этажей, в том числе подземный (автостоянка) – 1; этажность корпусов А-Б-В – 26 этажей, этажность корпусов Г-Д-Е – 17 этажей; многослойный – монолитный железобетонный каркас и стены из мелкоштучных каменных материалов; наружний слой – керамический облицовочный кирпич, толщиной 120 мм, внутренний слой – керамический камень с пазогребневым соединением, толщиной 250 мм, утеплитель – минеральная вата толщиной 150 мм.; межквартирные перегородки выполнены из керамического камня с пазогребневым соединением, толщиной 250 мм, </w:t>
      </w:r>
      <w:r w:rsidDel="00000000" w:rsidR="00000000" w:rsidRPr="00000000">
        <w:rPr>
          <w:rFonts w:ascii="Times New Roman" w:cs="Times New Roman" w:eastAsia="Times New Roman" w:hAnsi="Times New Roman"/>
          <w:sz w:val="24"/>
          <w:szCs w:val="24"/>
          <w:u w:val="single"/>
          <w:rtl w:val="0"/>
        </w:rPr>
        <w:t xml:space="preserve">материал перекрытия надземных этажей</w:t>
      </w:r>
      <w:r w:rsidDel="00000000" w:rsidR="00000000" w:rsidRPr="00000000">
        <w:rPr>
          <w:rFonts w:ascii="Times New Roman" w:cs="Times New Roman" w:eastAsia="Times New Roman" w:hAnsi="Times New Roman"/>
          <w:sz w:val="24"/>
          <w:szCs w:val="24"/>
          <w:rtl w:val="0"/>
        </w:rPr>
        <w:t xml:space="preserve"> – монолитные железобетонные плиты, толщиной 200 мм, </w:t>
      </w:r>
      <w:r w:rsidDel="00000000" w:rsidR="00000000" w:rsidRPr="00000000">
        <w:rPr>
          <w:rFonts w:ascii="Times New Roman" w:cs="Times New Roman" w:eastAsia="Times New Roman" w:hAnsi="Times New Roman"/>
          <w:sz w:val="24"/>
          <w:szCs w:val="24"/>
          <w:u w:val="single"/>
          <w:rtl w:val="0"/>
        </w:rPr>
        <w:t xml:space="preserve">материал перекрытия над парковкой</w:t>
      </w:r>
      <w:r w:rsidDel="00000000" w:rsidR="00000000" w:rsidRPr="00000000">
        <w:rPr>
          <w:rFonts w:ascii="Times New Roman" w:cs="Times New Roman" w:eastAsia="Times New Roman" w:hAnsi="Times New Roman"/>
          <w:sz w:val="24"/>
          <w:szCs w:val="24"/>
          <w:rtl w:val="0"/>
        </w:rPr>
        <w:t xml:space="preserve"> – монолитные железобетонные плиты, толщиной 250 мм, </w:t>
      </w:r>
      <w:r w:rsidDel="00000000" w:rsidR="00000000" w:rsidRPr="00000000">
        <w:rPr>
          <w:rFonts w:ascii="Times New Roman" w:cs="Times New Roman" w:eastAsia="Times New Roman" w:hAnsi="Times New Roman"/>
          <w:sz w:val="24"/>
          <w:szCs w:val="24"/>
          <w:u w:val="single"/>
          <w:rtl w:val="0"/>
        </w:rPr>
        <w:t xml:space="preserve">класс сейсмостойкости</w:t>
      </w:r>
      <w:r w:rsidDel="00000000" w:rsidR="00000000" w:rsidRPr="00000000">
        <w:rPr>
          <w:rFonts w:ascii="Times New Roman" w:cs="Times New Roman" w:eastAsia="Times New Roman" w:hAnsi="Times New Roman"/>
          <w:sz w:val="24"/>
          <w:szCs w:val="24"/>
          <w:rtl w:val="0"/>
        </w:rPr>
        <w:t xml:space="preserve"> – 6 класс, </w:t>
      </w:r>
      <w:r w:rsidDel="00000000" w:rsidR="00000000" w:rsidRPr="00000000">
        <w:rPr>
          <w:rFonts w:ascii="Times New Roman" w:cs="Times New Roman" w:eastAsia="Times New Roman" w:hAnsi="Times New Roman"/>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sz w:val="24"/>
          <w:szCs w:val="24"/>
          <w:rtl w:val="0"/>
        </w:rPr>
        <w:t xml:space="preserve"> – В, </w:t>
      </w:r>
      <w:r w:rsidDel="00000000" w:rsidR="00000000" w:rsidRPr="00000000">
        <w:rPr>
          <w:rFonts w:ascii="Times New Roman" w:cs="Times New Roman" w:eastAsia="Times New Roman" w:hAnsi="Times New Roman"/>
          <w:sz w:val="24"/>
          <w:szCs w:val="24"/>
          <w:u w:val="single"/>
          <w:rtl w:val="0"/>
        </w:rPr>
        <w:t xml:space="preserve">расположенный 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Республика Татарстан, г. Казань, Советский район, ул. Бухарская, д. 32,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16-RU16301000-161-2021 от «22» июня 2021 г.</w:t>
      </w:r>
    </w:p>
    <w:p w:rsidR="00000000" w:rsidDel="00000000" w:rsidP="00000000" w:rsidRDefault="00000000" w:rsidRPr="00000000" w14:paraId="00000011">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107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988"/>
        <w:gridCol w:w="1137"/>
        <w:gridCol w:w="989"/>
        <w:gridCol w:w="2556"/>
        <w:gridCol w:w="2122"/>
        <w:gridCol w:w="1280"/>
        <w:gridCol w:w="697"/>
        <w:tblGridChange w:id="0">
          <w:tblGrid>
            <w:gridCol w:w="990"/>
            <w:gridCol w:w="988"/>
            <w:gridCol w:w="1137"/>
            <w:gridCol w:w="989"/>
            <w:gridCol w:w="2556"/>
            <w:gridCol w:w="2122"/>
            <w:gridCol w:w="1280"/>
            <w:gridCol w:w="697"/>
          </w:tblGrid>
        </w:tblGridChange>
      </w:tblGrid>
      <w:tr>
        <w:trPr>
          <w:cantSplit w:val="0"/>
          <w:trHeight w:val="760" w:hRule="atLeast"/>
          <w:tblHeader w:val="0"/>
        </w:trPr>
        <w:tc>
          <w:tcPr/>
          <w:p w:rsidR="00000000" w:rsidDel="00000000" w:rsidP="00000000" w:rsidRDefault="00000000" w:rsidRPr="00000000" w14:paraId="00000014">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корпуса</w:t>
            </w:r>
          </w:p>
        </w:tc>
        <w:tc>
          <w:tcPr/>
          <w:p w:rsidR="00000000" w:rsidDel="00000000" w:rsidP="00000000" w:rsidRDefault="00000000" w:rsidRPr="00000000" w14:paraId="00000015">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блок-секции</w:t>
            </w:r>
          </w:p>
        </w:tc>
        <w:tc>
          <w:tcPr/>
          <w:p w:rsidR="00000000" w:rsidDel="00000000" w:rsidP="00000000" w:rsidRDefault="00000000" w:rsidRPr="00000000" w14:paraId="00000016">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Строит. №</w:t>
            </w:r>
          </w:p>
        </w:tc>
        <w:tc>
          <w:tcPr/>
          <w:p w:rsidR="00000000" w:rsidDel="00000000" w:rsidP="00000000" w:rsidRDefault="00000000" w:rsidRPr="00000000" w14:paraId="00000017">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Кол-во комнат</w:t>
            </w:r>
            <w:r w:rsidDel="00000000" w:rsidR="00000000" w:rsidRPr="00000000">
              <w:rPr>
                <w:rtl w:val="0"/>
              </w:rPr>
            </w:r>
          </w:p>
        </w:tc>
        <w:tc>
          <w:tcPr/>
          <w:p w:rsidR="00000000" w:rsidDel="00000000" w:rsidP="00000000" w:rsidRDefault="00000000" w:rsidRPr="00000000" w14:paraId="00000018">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19">
            <w:pPr>
              <w:ind w:left="3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учетом площади не отапливаемых помещений, с коэффициентами), кв.м.</w:t>
            </w:r>
          </w:p>
          <w:p w:rsidR="00000000" w:rsidDel="00000000" w:rsidP="00000000" w:rsidRDefault="00000000" w:rsidRPr="00000000" w14:paraId="0000001A">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1C">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(без учета площади не отапливаемых помещений), кв.м.</w:t>
            </w:r>
            <w:r w:rsidDel="00000000" w:rsidR="00000000" w:rsidRPr="00000000">
              <w:rPr>
                <w:rtl w:val="0"/>
              </w:rPr>
            </w:r>
          </w:p>
        </w:tc>
        <w:tc>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Жилая       проектная площадь, кв.м.</w:t>
            </w:r>
            <w:r w:rsidDel="00000000" w:rsidR="00000000" w:rsidRPr="00000000">
              <w:rPr>
                <w:rtl w:val="0"/>
              </w:rPr>
            </w:r>
          </w:p>
        </w:tc>
        <w:tc>
          <w:tcPr/>
          <w:p w:rsidR="00000000" w:rsidDel="00000000" w:rsidP="00000000" w:rsidRDefault="00000000" w:rsidRPr="00000000" w14:paraId="0000001E">
            <w:pPr>
              <w:ind w:right="-108" w:firstLine="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w:t>
            </w:r>
          </w:p>
        </w:tc>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{{f_room}}</w:t>
            </w:r>
          </w:p>
        </w:tc>
        <w:tc>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{{f_s_jk}}</w:t>
            </w:r>
          </w:p>
        </w:tc>
        <w:tc>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w:t>
            </w:r>
          </w:p>
        </w:tc>
        <w:tc>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7">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«15» апреля 2022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2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2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3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3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«31» октября 2025</w:t>
      </w:r>
      <w:r w:rsidDel="00000000" w:rsidR="00000000" w:rsidRPr="00000000">
        <w:rPr>
          <w:rFonts w:ascii="Times New Roman" w:cs="Times New Roman" w:eastAsia="Times New Roman" w:hAnsi="Times New Roman"/>
          <w:b w:val="1"/>
          <w:sz w:val="24"/>
          <w:szCs w:val="24"/>
          <w:rtl w:val="0"/>
        </w:rPr>
        <w:t xml:space="preserve"> г.</w:t>
      </w:r>
      <w:r w:rsidDel="00000000" w:rsidR="00000000" w:rsidRPr="00000000">
        <w:rPr>
          <w:rtl w:val="0"/>
        </w:rPr>
      </w:r>
    </w:p>
    <w:p w:rsidR="00000000" w:rsidDel="00000000" w:rsidP="00000000" w:rsidRDefault="00000000" w:rsidRPr="00000000" w14:paraId="0000003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E">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4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4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42">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4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4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48">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ПАО Сбербанк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ПАО Сбербанк (эскроу-агент), на следующих условиях:</w:t>
      </w:r>
    </w:p>
    <w:p w:rsidR="00000000" w:rsidDel="00000000" w:rsidP="00000000" w:rsidRDefault="00000000" w:rsidRPr="00000000" w14:paraId="0000004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«СК АЙ КЬЮ ДЕВЕЛОПМЕНТ» (ООО СЗ «СК АЙ КЬЮ ДЕВЕЛОПМЕНТ»)</w:t>
      </w:r>
    </w:p>
    <w:p w:rsidR="00000000" w:rsidDel="00000000" w:rsidP="00000000" w:rsidRDefault="00000000" w:rsidRPr="00000000" w14:paraId="0000004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4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1121690068224, ИНН 1655252709, КПП 165501001,</w:t>
      </w:r>
    </w:p>
    <w:p w:rsidR="00000000" w:rsidDel="00000000" w:rsidP="00000000" w:rsidRDefault="00000000" w:rsidRPr="00000000" w14:paraId="0000004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40702810862000063648 в Отделении № 8610 ПАО Сбербанк,</w:t>
      </w:r>
    </w:p>
    <w:p w:rsidR="00000000" w:rsidDel="00000000" w:rsidP="00000000" w:rsidRDefault="00000000" w:rsidRPr="00000000" w14:paraId="0000004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Корреспондентский счет: 30101810600000000603.</w:t>
      </w:r>
    </w:p>
    <w:p w:rsidR="00000000" w:rsidDel="00000000" w:rsidP="00000000" w:rsidRDefault="00000000" w:rsidRPr="00000000" w14:paraId="0000004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Уполномоченный банк, эскроу-агент: </w:t>
      </w:r>
      <w:r w:rsidDel="00000000" w:rsidR="00000000" w:rsidRPr="00000000">
        <w:rPr>
          <w:rFonts w:ascii="Times New Roman" w:cs="Times New Roman" w:eastAsia="Times New Roman" w:hAnsi="Times New Roman"/>
          <w:color w:val="212121"/>
          <w:sz w:val="24"/>
          <w:szCs w:val="24"/>
          <w:rtl w:val="0"/>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7">
        <w:r w:rsidDel="00000000" w:rsidR="00000000" w:rsidRPr="00000000">
          <w:rPr>
            <w:rFonts w:ascii="Times New Roman" w:cs="Times New Roman" w:eastAsia="Times New Roman" w:hAnsi="Times New Roman"/>
            <w:color w:val="0000ff"/>
            <w:sz w:val="24"/>
            <w:szCs w:val="24"/>
            <w:u w:val="single"/>
            <w:rtl w:val="0"/>
          </w:rPr>
          <w:t xml:space="preserve">Escrow_Sberbank@sberbank.ru</w:t>
        </w:r>
      </w:hyperlink>
      <w:r w:rsidDel="00000000" w:rsidR="00000000" w:rsidRPr="00000000">
        <w:rPr>
          <w:rFonts w:ascii="Times New Roman" w:cs="Times New Roman" w:eastAsia="Times New Roman" w:hAnsi="Times New Roman"/>
          <w:color w:val="212121"/>
          <w:sz w:val="24"/>
          <w:szCs w:val="24"/>
          <w:rtl w:val="0"/>
        </w:rPr>
        <w:t xml:space="preserve">, номер телефона: 900 – для мобильных, 8800 555 55 50 – для мобильных и городских.</w:t>
      </w:r>
      <w:r w:rsidDel="00000000" w:rsidR="00000000" w:rsidRPr="00000000">
        <w:rPr>
          <w:rtl w:val="0"/>
        </w:rPr>
      </w:r>
    </w:p>
    <w:p w:rsidR="00000000" w:rsidDel="00000000" w:rsidP="00000000" w:rsidRDefault="00000000" w:rsidRPr="00000000" w14:paraId="00000050">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5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5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Срок условного депонирования: 6 месяцев с даты ввода в эксплуатацию Дома, указанного в Проектной декларации.</w:t>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5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5 таблицы, приведенной в п. 1.1.3 настоящего договора.</w:t>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5D">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5E">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5F">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6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6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6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highlight w:val="white"/>
          <w:rtl w:val="0"/>
        </w:rPr>
        <w:t xml:space="preserve">«30» апреля 2026</w:t>
      </w:r>
      <w:r w:rsidDel="00000000" w:rsidR="00000000" w:rsidRPr="00000000">
        <w:rPr>
          <w:rFonts w:ascii="Times New Roman" w:cs="Times New Roman" w:eastAsia="Times New Roman" w:hAnsi="Times New Roman"/>
          <w:b w:val="1"/>
          <w:sz w:val="24"/>
          <w:szCs w:val="24"/>
          <w:rtl w:val="0"/>
        </w:rPr>
        <w:t xml:space="preserve"> г. </w:t>
      </w:r>
      <w:r w:rsidDel="00000000" w:rsidR="00000000" w:rsidRPr="00000000">
        <w:rPr>
          <w:rFonts w:ascii="Times New Roman" w:cs="Times New Roman" w:eastAsia="Times New Roman" w:hAnsi="Times New Roman"/>
          <w:sz w:val="24"/>
          <w:szCs w:val="24"/>
          <w:rtl w:val="0"/>
        </w:rPr>
        <w:t xml:space="preserve">в степени готовности, включающей выполнение следующих видов строительных и отделочных работ:</w:t>
      </w:r>
    </w:p>
    <w:p w:rsidR="00000000" w:rsidDel="00000000" w:rsidP="00000000" w:rsidRDefault="00000000" w:rsidRPr="00000000" w14:paraId="00000065">
      <w:pPr>
        <w:numPr>
          <w:ilvl w:val="2"/>
          <w:numId w:val="3"/>
        </w:numPr>
        <w:ind w:left="709" w:hanging="14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Устройство полов:  </w:t>
      </w:r>
    </w:p>
    <w:p w:rsidR="00000000" w:rsidDel="00000000" w:rsidP="00000000" w:rsidRDefault="00000000" w:rsidRPr="00000000" w14:paraId="00000066">
      <w:pPr>
        <w:numPr>
          <w:ilvl w:val="0"/>
          <w:numId w:val="6"/>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жилых помещениях, прихожей и кухне - настил ламината 32-го класса (на подложке), плинтус ПВХ; </w:t>
      </w:r>
    </w:p>
    <w:p w:rsidR="00000000" w:rsidDel="00000000" w:rsidP="00000000" w:rsidRDefault="00000000" w:rsidRPr="00000000" w14:paraId="00000067">
      <w:pPr>
        <w:numPr>
          <w:ilvl w:val="0"/>
          <w:numId w:val="6"/>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санузле – укладка керамической плитки; </w:t>
      </w:r>
    </w:p>
    <w:p w:rsidR="00000000" w:rsidDel="00000000" w:rsidP="00000000" w:rsidRDefault="00000000" w:rsidRPr="00000000" w14:paraId="00000068">
      <w:pPr>
        <w:numPr>
          <w:ilvl w:val="0"/>
          <w:numId w:val="6"/>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балконах и лоджиях – стяжка с укладкой керамической плитки; </w:t>
      </w:r>
    </w:p>
    <w:p w:rsidR="00000000" w:rsidDel="00000000" w:rsidP="00000000" w:rsidRDefault="00000000" w:rsidRPr="00000000" w14:paraId="00000069">
      <w:pPr>
        <w:numPr>
          <w:ilvl w:val="2"/>
          <w:numId w:val="3"/>
        </w:numPr>
        <w:ind w:left="851"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Устройство стен:  </w:t>
      </w:r>
    </w:p>
    <w:p w:rsidR="00000000" w:rsidDel="00000000" w:rsidP="00000000" w:rsidRDefault="00000000" w:rsidRPr="00000000" w14:paraId="0000006A">
      <w:pPr>
        <w:numPr>
          <w:ilvl w:val="0"/>
          <w:numId w:val="4"/>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жилых комнатах, прихожей и кухне – покраска стен краской на водной основе; </w:t>
      </w:r>
    </w:p>
    <w:p w:rsidR="00000000" w:rsidDel="00000000" w:rsidP="00000000" w:rsidRDefault="00000000" w:rsidRPr="00000000" w14:paraId="0000006B">
      <w:pPr>
        <w:numPr>
          <w:ilvl w:val="0"/>
          <w:numId w:val="4"/>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санузлах – облицовка керамической плиткой на высоту не менее 1,5 м от уровня пола. Выше плитки - покраска стен до потолка. </w:t>
      </w:r>
    </w:p>
    <w:p w:rsidR="00000000" w:rsidDel="00000000" w:rsidP="00000000" w:rsidRDefault="00000000" w:rsidRPr="00000000" w14:paraId="0000006C">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Устройство оконных откосов, монтаж ПВХ подоконника. </w:t>
      </w:r>
    </w:p>
    <w:p w:rsidR="00000000" w:rsidDel="00000000" w:rsidP="00000000" w:rsidRDefault="00000000" w:rsidRPr="00000000" w14:paraId="0000006D">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Устройство потолков:  </w:t>
      </w:r>
    </w:p>
    <w:p w:rsidR="00000000" w:rsidDel="00000000" w:rsidP="00000000" w:rsidRDefault="00000000" w:rsidRPr="00000000" w14:paraId="0000006E">
      <w:pPr>
        <w:numPr>
          <w:ilvl w:val="0"/>
          <w:numId w:val="5"/>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натяжное полотно белое матовое с угловым вставочным элементом; </w:t>
      </w:r>
    </w:p>
    <w:p w:rsidR="00000000" w:rsidDel="00000000" w:rsidP="00000000" w:rsidRDefault="00000000" w:rsidRPr="00000000" w14:paraId="0000006F">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Установка межкомнатных дверей: </w:t>
      </w:r>
    </w:p>
    <w:p w:rsidR="00000000" w:rsidDel="00000000" w:rsidP="00000000" w:rsidRDefault="00000000" w:rsidRPr="00000000" w14:paraId="00000070">
      <w:pPr>
        <w:numPr>
          <w:ilvl w:val="0"/>
          <w:numId w:val="5"/>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двери каркасно-щитовой конструкции, отделка - декоративная плёнка; комплектуются коробочным брусом, наличниками и ручкой. </w:t>
      </w:r>
    </w:p>
    <w:p w:rsidR="00000000" w:rsidDel="00000000" w:rsidP="00000000" w:rsidRDefault="00000000" w:rsidRPr="00000000" w14:paraId="00000071">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Устройство водопровода и канализации в санузле: </w:t>
      </w:r>
    </w:p>
    <w:p w:rsidR="00000000" w:rsidDel="00000000" w:rsidP="00000000" w:rsidRDefault="00000000" w:rsidRPr="00000000" w14:paraId="00000072">
      <w:pPr>
        <w:numPr>
          <w:ilvl w:val="0"/>
          <w:numId w:val="5"/>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горизонтальная разводка водопровода холодного, горячего водоснабжения и канализации к унитазу, раковине, ванне и стиральной машине; </w:t>
      </w:r>
    </w:p>
    <w:p w:rsidR="00000000" w:rsidDel="00000000" w:rsidP="00000000" w:rsidRDefault="00000000" w:rsidRPr="00000000" w14:paraId="00000073">
      <w:pPr>
        <w:numPr>
          <w:ilvl w:val="0"/>
          <w:numId w:val="5"/>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и подключение акриловой ванны со смесителем, фаянсового умывальника на пьедестале со смесителем, напольного унитаза с бачком. </w:t>
      </w:r>
    </w:p>
    <w:p w:rsidR="00000000" w:rsidDel="00000000" w:rsidP="00000000" w:rsidRDefault="00000000" w:rsidRPr="00000000" w14:paraId="00000074">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Устройство водопровода и канализации на кухне:</w:t>
      </w:r>
    </w:p>
    <w:p w:rsidR="00000000" w:rsidDel="00000000" w:rsidP="00000000" w:rsidRDefault="00000000" w:rsidRPr="00000000" w14:paraId="00000075">
      <w:pPr>
        <w:numPr>
          <w:ilvl w:val="0"/>
          <w:numId w:val="2"/>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горизонтальная разводка водопровода холодного, горячего водоснабжения и канализации до раковины. </w:t>
      </w:r>
    </w:p>
    <w:p w:rsidR="00000000" w:rsidDel="00000000" w:rsidP="00000000" w:rsidRDefault="00000000" w:rsidRPr="00000000" w14:paraId="00000076">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Электромонтажные работы: </w:t>
      </w:r>
    </w:p>
    <w:p w:rsidR="00000000" w:rsidDel="00000000" w:rsidP="00000000" w:rsidRDefault="00000000" w:rsidRPr="00000000" w14:paraId="00000077">
      <w:pPr>
        <w:numPr>
          <w:ilvl w:val="0"/>
          <w:numId w:val="1"/>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финишной электро-фурнитуры согласно проекту; </w:t>
      </w:r>
    </w:p>
    <w:p w:rsidR="00000000" w:rsidDel="00000000" w:rsidP="00000000" w:rsidRDefault="00000000" w:rsidRPr="00000000" w14:paraId="00000078">
      <w:pPr>
        <w:numPr>
          <w:ilvl w:val="0"/>
          <w:numId w:val="1"/>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и подключение точечных светильников в санузле; </w:t>
      </w:r>
    </w:p>
    <w:p w:rsidR="00000000" w:rsidDel="00000000" w:rsidP="00000000" w:rsidRDefault="00000000" w:rsidRPr="00000000" w14:paraId="00000079">
      <w:pPr>
        <w:numPr>
          <w:ilvl w:val="0"/>
          <w:numId w:val="1"/>
        </w:numPr>
        <w:ind w:left="12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и подключение люстр в жилых комнатах, прихожей, гардеробной и кухне.</w:t>
      </w:r>
    </w:p>
    <w:p w:rsidR="00000000" w:rsidDel="00000000" w:rsidP="00000000" w:rsidRDefault="00000000" w:rsidRPr="00000000" w14:paraId="0000007A">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Разводка отопления по квартире, с подключением в систему теплоснабжения, с установкой отопительных приборов.</w:t>
      </w:r>
    </w:p>
    <w:p w:rsidR="00000000" w:rsidDel="00000000" w:rsidP="00000000" w:rsidRDefault="00000000" w:rsidRPr="00000000" w14:paraId="0000007B">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Установка металлической входной двери с замком.</w:t>
      </w:r>
    </w:p>
    <w:p w:rsidR="00000000" w:rsidDel="00000000" w:rsidP="00000000" w:rsidRDefault="00000000" w:rsidRPr="00000000" w14:paraId="0000007C">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Комплектование Объекта приборами учета горячего и холодного водоснабжения.</w:t>
      </w:r>
    </w:p>
    <w:p w:rsidR="00000000" w:rsidDel="00000000" w:rsidP="00000000" w:rsidRDefault="00000000" w:rsidRPr="00000000" w14:paraId="0000007D">
      <w:pPr>
        <w:numPr>
          <w:ilvl w:val="2"/>
          <w:numId w:val="3"/>
        </w:numPr>
        <w:ind w:left="1288" w:hanging="7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Установка остеклений и ограждений лоджий и балконов.</w:t>
      </w:r>
    </w:p>
    <w:p w:rsidR="00000000" w:rsidDel="00000000" w:rsidP="00000000" w:rsidRDefault="00000000" w:rsidRPr="00000000" w14:paraId="0000007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работы в Объекте, а также установка сантехнического оборудования и его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07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8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8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8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8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8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85">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8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8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8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8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8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8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8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8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8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9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9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9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9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9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9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9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9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9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9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9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9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9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9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9F">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A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A1">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A3">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A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A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A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A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A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rsidR="00000000" w:rsidDel="00000000" w:rsidP="00000000" w:rsidRDefault="00000000" w:rsidRPr="00000000" w14:paraId="000000A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A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A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A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A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rsidR="00000000" w:rsidDel="00000000" w:rsidP="00000000" w:rsidRDefault="00000000" w:rsidRPr="00000000" w14:paraId="000000A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AF">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B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B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B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B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B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B7">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BA">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B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BD">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BE">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C0">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C1">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C2">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C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C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C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C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C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C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C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C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C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CD">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CF">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D0">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«СК АЙ КЬЮ ДЕВЕЛОПМЕНТ»</w:t>
      </w:r>
    </w:p>
    <w:p w:rsidR="00000000" w:rsidDel="00000000" w:rsidP="00000000" w:rsidRDefault="00000000" w:rsidRPr="00000000" w14:paraId="000000D1">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D2">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1121690068224, ИНН 1655252709, КПП 165501001,</w:t>
      </w:r>
    </w:p>
    <w:p w:rsidR="00000000" w:rsidDel="00000000" w:rsidP="00000000" w:rsidRDefault="00000000" w:rsidRPr="00000000" w14:paraId="000000D3">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40702810862000063648 в Отделении №8610 ПАО Сбербанк,</w:t>
      </w:r>
    </w:p>
    <w:p w:rsidR="00000000" w:rsidDel="00000000" w:rsidP="00000000" w:rsidRDefault="00000000" w:rsidRPr="00000000" w14:paraId="000000D4">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30101810600000000603, БИК 049205603.</w:t>
      </w:r>
    </w:p>
    <w:p w:rsidR="00000000" w:rsidDel="00000000" w:rsidP="00000000" w:rsidRDefault="00000000" w:rsidRPr="00000000" w14:paraId="000000D5">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D6">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D8">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D9">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D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DD">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Ind w:w="-115.0" w:type="dxa"/>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DF">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E0">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«СК АЙ КЬЮ ДЕВЕЛОПМЕНТ»</w:t>
            </w:r>
          </w:p>
          <w:p w:rsidR="00000000" w:rsidDel="00000000" w:rsidP="00000000" w:rsidRDefault="00000000" w:rsidRPr="00000000" w14:paraId="000000E1">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E4">
            <w:pPr>
              <w:widowControl w:val="1"/>
              <w:ind w:firstLine="567"/>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E5">
            <w:pPr>
              <w:widowControl w:val="1"/>
              <w:ind w:left="425.19685039370086" w:firstLine="0"/>
              <w:jc w:val="both"/>
              <w:rPr>
                <w:rFonts w:ascii="Times New Roman" w:cs="Times New Roman" w:eastAsia="Times New Roman" w:hAnsi="Times New Roman"/>
                <w:b w:val="1"/>
              </w:rPr>
            </w:pPr>
            <w:bookmarkStart w:colFirst="0" w:colLast="0" w:name="_heading=h.1tbb3z4abtfk" w:id="2"/>
            <w:bookmarkEnd w:id="2"/>
            <w:r w:rsidDel="00000000" w:rsidR="00000000" w:rsidRPr="00000000">
              <w:rPr>
                <w:rFonts w:ascii="Times New Roman" w:cs="Times New Roman" w:eastAsia="Times New Roman" w:hAnsi="Times New Roman"/>
                <w:rtl w:val="0"/>
              </w:rPr>
              <w:t xml:space="preserve">на основании доверенности 16 АА 7331364, 16 АА 7331365 от 16.09.2022 г., зарегистрированной в реестре за № 16/155-н/16-2022-21-300</w:t>
            </w:r>
            <w:r w:rsidDel="00000000" w:rsidR="00000000" w:rsidRPr="00000000">
              <w:rPr>
                <w:rtl w:val="0"/>
              </w:rPr>
            </w:r>
          </w:p>
          <w:p w:rsidR="00000000" w:rsidDel="00000000" w:rsidP="00000000" w:rsidRDefault="00000000" w:rsidRPr="00000000" w14:paraId="000000E6">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E7">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E8">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E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E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E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F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F3">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B">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FC">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FD">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Б/В-{{f_bs}}/{{f_num}} от «{{num_d}}» {{num_M}} {{num_y}} г.</w:t>
      </w:r>
      <w:r w:rsidDel="00000000" w:rsidR="00000000" w:rsidRPr="00000000">
        <w:rPr>
          <w:rtl w:val="0"/>
        </w:rPr>
      </w:r>
    </w:p>
    <w:p w:rsidR="00000000" w:rsidDel="00000000" w:rsidP="00000000" w:rsidRDefault="00000000" w:rsidRPr="00000000" w14:paraId="000000FE">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101">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102">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104">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105">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Корпус – В</w:t>
      </w:r>
    </w:p>
    <w:p w:rsidR="00000000" w:rsidDel="00000000" w:rsidP="00000000" w:rsidRDefault="00000000" w:rsidRPr="00000000" w14:paraId="00000106">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Блок-секция – {{f_bs}}</w:t>
      </w:r>
    </w:p>
    <w:p w:rsidR="00000000" w:rsidDel="00000000" w:rsidP="00000000" w:rsidRDefault="00000000" w:rsidRPr="00000000" w14:paraId="00000107">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109">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Ind w:w="-115.0" w:type="dxa"/>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10D">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0E">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«СК АЙ КЬЮ ДЕВЕЛОПМЕНТ»</w:t>
            </w:r>
          </w:p>
          <w:p w:rsidR="00000000" w:rsidDel="00000000" w:rsidP="00000000" w:rsidRDefault="00000000" w:rsidRPr="00000000" w14:paraId="0000010F">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12">
            <w:pPr>
              <w:widowControl w:val="1"/>
              <w:ind w:firstLine="567"/>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113">
            <w:pPr>
              <w:widowControl w:val="1"/>
              <w:ind w:left="425.19685039370086" w:firstLine="0"/>
              <w:jc w:val="both"/>
              <w:rPr>
                <w:rFonts w:ascii="Times New Roman" w:cs="Times New Roman" w:eastAsia="Times New Roman" w:hAnsi="Times New Roman"/>
                <w:b w:val="1"/>
              </w:rPr>
            </w:pPr>
            <w:bookmarkStart w:colFirst="0" w:colLast="0" w:name="_heading=h.1tbb3z4abtfk" w:id="2"/>
            <w:bookmarkEnd w:id="2"/>
            <w:r w:rsidDel="00000000" w:rsidR="00000000" w:rsidRPr="00000000">
              <w:rPr>
                <w:rFonts w:ascii="Times New Roman" w:cs="Times New Roman" w:eastAsia="Times New Roman" w:hAnsi="Times New Roman"/>
                <w:rtl w:val="0"/>
              </w:rPr>
              <w:t xml:space="preserve">на основании доверенности 16 АА 7331364, 16 АА 7331365 от 16.09.2022 г., зарегистрированной в реестре за № 16/155-н/16-2022-21-300</w:t>
            </w:r>
            <w:r w:rsidDel="00000000" w:rsidR="00000000" w:rsidRPr="00000000">
              <w:rPr>
                <w:rtl w:val="0"/>
              </w:rPr>
            </w:r>
          </w:p>
          <w:p w:rsidR="00000000" w:rsidDel="00000000" w:rsidP="00000000" w:rsidRDefault="00000000" w:rsidRPr="00000000" w14:paraId="00000114">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15">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1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17">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1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1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1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3">
      <w:pPr>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widowControl w:val="1"/>
        <w:ind w:firstLine="567"/>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6">
      <w:pPr>
        <w:ind w:firstLine="567"/>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28">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29">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Б/В-{{f_bs}}/{{f_num}} от «{{num_d}}» {{num_M}} {{num_y}} г.</w:t>
      </w:r>
      <w:r w:rsidDel="00000000" w:rsidR="00000000" w:rsidRPr="00000000">
        <w:rPr>
          <w:rtl w:val="0"/>
        </w:rPr>
      </w:r>
    </w:p>
    <w:p w:rsidR="00000000" w:rsidDel="00000000" w:rsidP="00000000" w:rsidRDefault="00000000" w:rsidRPr="00000000" w14:paraId="0000012A">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2E">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2F">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32">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Ind w:w="-115.0" w:type="dxa"/>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36">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37">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«СК АЙ КЬЮ ДЕВЕЛОПМЕНТ»</w:t>
            </w:r>
          </w:p>
          <w:p w:rsidR="00000000" w:rsidDel="00000000" w:rsidP="00000000" w:rsidRDefault="00000000" w:rsidRPr="00000000" w14:paraId="00000138">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9">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A">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3B">
            <w:pPr>
              <w:widowControl w:val="1"/>
              <w:ind w:left="15" w:firstLine="0"/>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13C">
            <w:pPr>
              <w:widowControl w:val="1"/>
              <w:ind w:left="15" w:firstLine="0"/>
              <w:jc w:val="both"/>
              <w:rPr>
                <w:rFonts w:ascii="Times New Roman" w:cs="Times New Roman" w:eastAsia="Times New Roman" w:hAnsi="Times New Roman"/>
                <w:b w:val="1"/>
              </w:rPr>
            </w:pPr>
            <w:bookmarkStart w:colFirst="0" w:colLast="0" w:name="_heading=h.1tbb3z4abtfk" w:id="2"/>
            <w:bookmarkEnd w:id="2"/>
            <w:r w:rsidDel="00000000" w:rsidR="00000000" w:rsidRPr="00000000">
              <w:rPr>
                <w:rFonts w:ascii="Times New Roman" w:cs="Times New Roman" w:eastAsia="Times New Roman" w:hAnsi="Times New Roman"/>
                <w:rtl w:val="0"/>
              </w:rPr>
              <w:t xml:space="preserve">на основании доверенности 16 АА 7331364, 16 АА 7331365 от 16.09.2022 г., зарегистрированной в реестре за № 16/155-н/16-2022-21-300</w:t>
            </w:r>
            <w:r w:rsidDel="00000000" w:rsidR="00000000" w:rsidRPr="00000000">
              <w:rPr>
                <w:rtl w:val="0"/>
              </w:rPr>
            </w:r>
          </w:p>
          <w:p w:rsidR="00000000" w:rsidDel="00000000" w:rsidP="00000000" w:rsidRDefault="00000000" w:rsidRPr="00000000" w14:paraId="0000013D">
            <w:pPr>
              <w:widowControl w:val="1"/>
              <w:ind w:left="22"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E">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3F">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40">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43">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4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48">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49">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C">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5"/>
      <w:numFmt w:val="decimal"/>
      <w:lvlText w:val="%1."/>
      <w:lvlJc w:val="left"/>
      <w:pPr>
        <w:ind w:left="540" w:hanging="540"/>
      </w:pPr>
      <w:rPr/>
    </w:lvl>
    <w:lvl w:ilvl="1">
      <w:start w:val="4"/>
      <w:numFmt w:val="decimal"/>
      <w:lvlText w:val="%1.%2."/>
      <w:lvlJc w:val="left"/>
      <w:pPr>
        <w:ind w:left="900" w:hanging="540"/>
      </w:pPr>
      <w:rPr/>
    </w:lvl>
    <w:lvl w:ilvl="2">
      <w:start w:val="1"/>
      <w:numFmt w:val="decimal"/>
      <w:lvlText w:val="5.1.3.%3."/>
      <w:lvlJc w:val="left"/>
      <w:pPr>
        <w:ind w:left="1080" w:hanging="36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1"/>
    <w:rsid w:val="004360FA"/>
    <w:tblPr>
      <w:tblStyleRowBandSize w:val="1"/>
      <w:tblStyleColBandSize w:val="1"/>
      <w:tblCellMar>
        <w:top w:w="0.0" w:type="dxa"/>
        <w:left w:w="108.0" w:type="dxa"/>
        <w:bottom w:w="0.0" w:type="dxa"/>
        <w:right w:w="108.0" w:type="dxa"/>
      </w:tblCellMar>
    </w:tblPr>
  </w:style>
  <w:style w:type="table" w:styleId="a6" w:customStyle="1">
    <w:basedOn w:val="TableNormal1"/>
    <w:rsid w:val="004360FA"/>
    <w:tblPr>
      <w:tblStyleRowBandSize w:val="1"/>
      <w:tblStyleColBandSize w:val="1"/>
      <w:tblCellMar>
        <w:top w:w="0.0" w:type="dxa"/>
        <w:left w:w="108.0" w:type="dxa"/>
        <w:bottom w:w="0.0" w:type="dxa"/>
        <w:right w:w="108.0" w:type="dxa"/>
      </w:tblCellMar>
    </w:tblPr>
  </w:style>
  <w:style w:type="table" w:styleId="a7" w:customStyle="1">
    <w:basedOn w:val="TableNormal1"/>
    <w:rsid w:val="004360FA"/>
    <w:tblPr>
      <w:tblStyleRowBandSize w:val="1"/>
      <w:tblStyleColBandSize w:val="1"/>
      <w:tblCellMar>
        <w:top w:w="0.0" w:type="dxa"/>
        <w:left w:w="108.0" w:type="dxa"/>
        <w:bottom w:w="0.0" w:type="dxa"/>
        <w:right w:w="108.0" w:type="dxa"/>
      </w:tblCellMar>
    </w:tblPr>
  </w:style>
  <w:style w:type="table" w:styleId="a8" w:customStyle="1">
    <w:basedOn w:val="TableNormal1"/>
    <w:rsid w:val="004360FA"/>
    <w:tblPr>
      <w:tblStyleRowBandSize w:val="1"/>
      <w:tblStyleColBandSize w:val="1"/>
      <w:tblCellMar>
        <w:top w:w="0.0" w:type="dxa"/>
        <w:left w:w="108.0" w:type="dxa"/>
        <w:bottom w:w="0.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1"/>
    <w:tblPr>
      <w:tblStyleRowBandSize w:val="1"/>
      <w:tblStyleColBandSize w:val="1"/>
      <w:tblCellMar>
        <w:top w:w="0.0" w:type="dxa"/>
        <w:left w:w="115.0" w:type="dxa"/>
        <w:bottom w:w="0.0" w:type="dxa"/>
        <w:right w:w="115.0" w:type="dxa"/>
      </w:tblCellMar>
    </w:tblPr>
  </w:style>
  <w:style w:type="table" w:styleId="af1" w:customStyle="1">
    <w:basedOn w:val="TableNormal1"/>
    <w:tblPr>
      <w:tblStyleRowBandSize w:val="1"/>
      <w:tblStyleColBandSize w:val="1"/>
      <w:tblCellMar>
        <w:top w:w="0.0" w:type="dxa"/>
        <w:left w:w="115.0" w:type="dxa"/>
        <w:bottom w:w="0.0" w:type="dxa"/>
        <w:right w:w="115.0" w:type="dxa"/>
      </w:tblCellMar>
    </w:tblPr>
  </w:style>
  <w:style w:type="table" w:styleId="af2" w:customStyle="1">
    <w:basedOn w:val="TableNormal1"/>
    <w:tblPr>
      <w:tblStyleRowBandSize w:val="1"/>
      <w:tblStyleColBandSize w:val="1"/>
      <w:tblCellMar>
        <w:top w:w="0.0" w:type="dxa"/>
        <w:left w:w="115.0" w:type="dxa"/>
        <w:bottom w:w="0.0" w:type="dxa"/>
        <w:right w:w="115.0" w:type="dxa"/>
      </w:tblCellMar>
    </w:tblPr>
  </w:style>
  <w:style w:type="table" w:styleId="af3" w:customStyle="1">
    <w:basedOn w:val="TableNormal1"/>
    <w:tblPr>
      <w:tblStyleRowBandSize w:val="1"/>
      <w:tblStyleColBandSize w:val="1"/>
      <w:tblCellMar>
        <w:top w:w="0.0" w:type="dxa"/>
        <w:left w:w="115.0" w:type="dxa"/>
        <w:bottom w:w="0.0" w:type="dxa"/>
        <w:right w:w="115.0" w:type="dxa"/>
      </w:tblCellMar>
    </w:tblPr>
  </w:style>
  <w:style w:type="table" w:styleId="af4" w:customStyle="1">
    <w:basedOn w:val="TableNormal1"/>
    <w:tblPr>
      <w:tblStyleRowBandSize w:val="1"/>
      <w:tblStyleColBandSize w:val="1"/>
      <w:tblCellMar>
        <w:top w:w="0.0" w:type="dxa"/>
        <w:left w:w="115.0" w:type="dxa"/>
        <w:bottom w:w="0.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0"/>
    <w:rPr>
      <w:color w:val="000000"/>
    </w:rPr>
    <w:tblPr>
      <w:tblStyleRowBandSize w:val="1"/>
      <w:tblStyleColBandSize w:val="1"/>
      <w:tblCellMar>
        <w:top w:w="0.0" w:type="dxa"/>
        <w:left w:w="115.0" w:type="dxa"/>
        <w:bottom w:w="0.0" w:type="dxa"/>
        <w:right w:w="115.0" w:type="dxa"/>
      </w:tblCellMar>
    </w:tblPr>
  </w:style>
  <w:style w:type="table" w:styleId="af9" w:customStyle="1">
    <w:basedOn w:val="TableNormal0"/>
    <w:rPr>
      <w:color w:val="000000"/>
    </w:rPr>
    <w:tblPr>
      <w:tblStyleRowBandSize w:val="1"/>
      <w:tblStyleColBandSize w:val="1"/>
      <w:tblCellMar>
        <w:top w:w="0.0" w:type="dxa"/>
        <w:left w:w="115.0" w:type="dxa"/>
        <w:bottom w:w="0.0" w:type="dxa"/>
        <w:right w:w="115.0" w:type="dxa"/>
      </w:tblCellMar>
    </w:tblPr>
  </w:style>
  <w:style w:type="table" w:styleId="afa" w:customStyle="1">
    <w:basedOn w:val="TableNormal0"/>
    <w:rPr>
      <w:color w:val="000000"/>
    </w:rPr>
    <w:tblPr>
      <w:tblStyleRowBandSize w:val="1"/>
      <w:tblStyleColBandSize w:val="1"/>
      <w:tblCellMar>
        <w:top w:w="0.0" w:type="dxa"/>
        <w:left w:w="115.0" w:type="dxa"/>
        <w:bottom w:w="0.0" w:type="dxa"/>
        <w:right w:w="115.0" w:type="dxa"/>
      </w:tblCellMar>
    </w:tblPr>
  </w:style>
  <w:style w:type="table" w:styleId="afb" w:customStyle="1">
    <w:basedOn w:val="TableNormal0"/>
    <w:rPr>
      <w:color w:val="000000"/>
    </w:rPr>
    <w:tblPr>
      <w:tblStyleRowBandSize w:val="1"/>
      <w:tblStyleColBandSize w:val="1"/>
      <w:tblCellMar>
        <w:top w:w="0.0" w:type="dxa"/>
        <w:left w:w="115.0" w:type="dxa"/>
        <w:bottom w:w="0.0" w:type="dxa"/>
        <w:right w:w="115.0" w:type="dxa"/>
      </w:tblCellMar>
    </w:tblPr>
  </w:style>
  <w:style w:type="table" w:styleId="afc" w:customStyle="1">
    <w:basedOn w:val="TableNormal0"/>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_Sberbank@sberbank.r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HVjQvjTd4sw1aAKU5xYEwh2YNg==">AMUW2mV3CCsMR7LRIcxUvyIYZhXC3Bd3Qpoqr1wivvOXO3x/QBmXKXvzeOaMFPgzbcJTJYGB+wiZU87oQ+H6kBVVq65XG7eB/ioHSLR38BxWn4QzXrwVw/ki+N2rvt9hSfjea+ljM3byKV9UuW6bNdJRrVlu7FKPsThAUn16JSWhu21Wpxtcfn7YP9w3aoYyUpVWc3lCcVy802MAtV1WKO/gW64VIu4QMh0biCGZGPOwA6GRHOWVVeM=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2022-04-20T13:44:00Z</dcterms:created>
  <dc:creator>Ваш Юрист</dc:creator>
</cp:coreProperties>
</file>