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EA0B" w14:textId="77777777" w:rsidR="00224D8B" w:rsidRPr="00582138" w:rsidRDefault="00224D8B" w:rsidP="00224D8B">
      <w:pPr>
        <w:jc w:val="center"/>
        <w:rPr>
          <w:b/>
          <w:sz w:val="22"/>
          <w:szCs w:val="22"/>
        </w:rPr>
      </w:pPr>
      <w:r w:rsidRPr="00582138">
        <w:rPr>
          <w:b/>
          <w:sz w:val="22"/>
          <w:szCs w:val="22"/>
        </w:rPr>
        <w:t>ДОГОВОР</w:t>
      </w:r>
    </w:p>
    <w:p w14:paraId="63B1953D" w14:textId="77777777" w:rsidR="00224D8B" w:rsidRPr="00582138" w:rsidRDefault="00224D8B" w:rsidP="00224D8B">
      <w:pPr>
        <w:jc w:val="center"/>
        <w:rPr>
          <w:b/>
          <w:sz w:val="22"/>
          <w:szCs w:val="22"/>
        </w:rPr>
      </w:pPr>
      <w:r w:rsidRPr="00582138">
        <w:rPr>
          <w:b/>
          <w:sz w:val="22"/>
          <w:szCs w:val="22"/>
        </w:rPr>
        <w:t xml:space="preserve">участия в долевом строительстве </w:t>
      </w:r>
      <w:r>
        <w:rPr>
          <w:b/>
          <w:sz w:val="22"/>
          <w:szCs w:val="22"/>
        </w:rPr>
        <w:t>№ II</w:t>
      </w:r>
      <w:r>
        <w:rPr>
          <w:b/>
          <w:sz w:val="22"/>
          <w:szCs w:val="22"/>
          <w:lang w:val="en-US"/>
        </w:rPr>
        <w:t>I</w:t>
      </w:r>
      <w:r>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37088886" w14:textId="77777777" w:rsidR="00224D8B" w:rsidRPr="00224D8B" w:rsidRDefault="00224D8B" w:rsidP="00224D8B">
      <w:pPr>
        <w:ind w:firstLine="709"/>
        <w:jc w:val="both"/>
        <w:rPr>
          <w:b/>
          <w:sz w:val="22"/>
          <w:szCs w:val="22"/>
        </w:rPr>
      </w:pPr>
      <w:r w:rsidRPr="00224D8B">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Pr="00224D8B">
        <w:rPr>
          <w:b/>
          <w:sz w:val="22"/>
          <w:szCs w:val="22"/>
        </w:rPr>
        <w:t xml:space="preserve"> жилую секцию __, входящую в</w:t>
      </w:r>
      <w:r w:rsidRPr="00224D8B">
        <w:rPr>
          <w:sz w:val="22"/>
          <w:szCs w:val="22"/>
        </w:rPr>
        <w:t xml:space="preserve"> </w:t>
      </w:r>
      <w:r w:rsidRPr="00224D8B">
        <w:rPr>
          <w:b/>
          <w:sz w:val="22"/>
          <w:szCs w:val="22"/>
        </w:rPr>
        <w:t xml:space="preserve">Комплекс многоквартирных жилых домов с объектами обслуживания жилой застройки по ул. Горпищенко в г. Севастополе. </w:t>
      </w:r>
      <w:r w:rsidRPr="00224D8B">
        <w:rPr>
          <w:b/>
          <w:sz w:val="22"/>
          <w:szCs w:val="22"/>
          <w:lang w:val="en-US"/>
        </w:rPr>
        <w:t>III</w:t>
      </w:r>
      <w:r w:rsidRPr="00224D8B">
        <w:rPr>
          <w:b/>
          <w:sz w:val="22"/>
          <w:szCs w:val="22"/>
        </w:rPr>
        <w:t xml:space="preserve"> этап строительства, </w:t>
      </w:r>
      <w:r w:rsidRPr="00224D8B">
        <w:rPr>
          <w:b/>
          <w:sz w:val="22"/>
          <w:szCs w:val="22"/>
          <w:lang w:val="en-US"/>
        </w:rPr>
        <w:t>ID</w:t>
      </w:r>
      <w:r w:rsidRPr="00224D8B">
        <w:rPr>
          <w:b/>
          <w:sz w:val="22"/>
          <w:szCs w:val="22"/>
        </w:rPr>
        <w:t xml:space="preserve"> объекта в ЕИСЖС - ______ </w:t>
      </w:r>
      <w:r w:rsidRPr="00224D8B">
        <w:rPr>
          <w:sz w:val="22"/>
          <w:szCs w:val="22"/>
        </w:rPr>
        <w:t>(далее –</w:t>
      </w:r>
      <w:r w:rsidRPr="00224D8B">
        <w:rPr>
          <w:b/>
          <w:sz w:val="22"/>
          <w:szCs w:val="22"/>
        </w:rPr>
        <w:t xml:space="preserve"> «Здание»</w:t>
      </w:r>
      <w:r w:rsidRPr="00224D8B">
        <w:rPr>
          <w:sz w:val="22"/>
          <w:szCs w:val="22"/>
        </w:rPr>
        <w:t>)</w:t>
      </w:r>
      <w:r w:rsidRPr="00224D8B">
        <w:rPr>
          <w:b/>
          <w:sz w:val="22"/>
          <w:szCs w:val="22"/>
        </w:rPr>
        <w:t xml:space="preserve">, </w:t>
      </w:r>
      <w:r w:rsidRPr="00224D8B">
        <w:rPr>
          <w:sz w:val="22"/>
          <w:szCs w:val="22"/>
        </w:rPr>
        <w:t xml:space="preserve">на земельном участке: г. Севастополь, Нахимовский район, в районе ул. Горпищенко с кадастровым (или условным) номером № 91:04:000000:105, общей площадью 31 643 кв.м, принадлежащем Застройщику на праве субаренды, расположенном по адресу: </w:t>
      </w:r>
      <w:r w:rsidRPr="00224D8B">
        <w:rPr>
          <w:b/>
          <w:sz w:val="22"/>
          <w:szCs w:val="22"/>
        </w:rPr>
        <w:t>г. Севастополь, Нахимовский район, шоссе Лабораторное, 33</w:t>
      </w:r>
      <w:r w:rsidRPr="00224D8B">
        <w:rPr>
          <w:sz w:val="22"/>
          <w:szCs w:val="22"/>
        </w:rPr>
        <w:t>,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049C8CAE" w:rsidR="00B97A06" w:rsidRPr="00582138" w:rsidRDefault="000330BE" w:rsidP="006B0DC5">
      <w:pPr>
        <w:ind w:firstLine="720"/>
        <w:jc w:val="both"/>
        <w:rPr>
          <w:sz w:val="22"/>
          <w:szCs w:val="22"/>
        </w:rPr>
      </w:pPr>
      <w:r w:rsidRPr="00582138">
        <w:rPr>
          <w:sz w:val="22"/>
          <w:szCs w:val="22"/>
        </w:rPr>
        <w:t xml:space="preserve">1.2. </w:t>
      </w:r>
      <w:r w:rsidR="00575D8C" w:rsidRPr="00383718">
        <w:rPr>
          <w:sz w:val="22"/>
          <w:szCs w:val="22"/>
        </w:rPr>
        <w:t xml:space="preserve">Настоящим Стороны согласовали, что объектом долевого строительства в соответствии с проектной документацией является расположенное в Здании </w:t>
      </w:r>
      <w:r w:rsidR="00575D8C" w:rsidRPr="00941A63">
        <w:rPr>
          <w:sz w:val="22"/>
          <w:szCs w:val="22"/>
        </w:rPr>
        <w:t>встроенное нежилое помещение</w:t>
      </w:r>
      <w:r w:rsidR="00575D8C">
        <w:rPr>
          <w:color w:val="FF0000"/>
          <w:sz w:val="22"/>
          <w:szCs w:val="22"/>
        </w:rPr>
        <w:t xml:space="preserve"> </w:t>
      </w:r>
      <w:r w:rsidR="00575D8C" w:rsidRPr="00383718">
        <w:rPr>
          <w:sz w:val="22"/>
          <w:szCs w:val="22"/>
        </w:rPr>
        <w:t>без проведения каких-либо отделочных работ (далее – «</w:t>
      </w:r>
      <w:r w:rsidR="00575D8C">
        <w:rPr>
          <w:sz w:val="22"/>
          <w:szCs w:val="22"/>
        </w:rPr>
        <w:t>Помещение</w:t>
      </w:r>
      <w:r w:rsidR="00575D8C" w:rsidRPr="00383718">
        <w:rPr>
          <w:sz w:val="22"/>
          <w:szCs w:val="22"/>
        </w:rPr>
        <w:t>», «Объект долевого строительства»), со следующими основными характеристиками</w:t>
      </w:r>
      <w:r w:rsidR="00575D8C" w:rsidRPr="00582138">
        <w:rPr>
          <w:sz w:val="22"/>
          <w:szCs w:val="22"/>
        </w:rPr>
        <w:t>:</w:t>
      </w:r>
    </w:p>
    <w:p w14:paraId="0E8C554D" w14:textId="77777777" w:rsidR="00AA340F" w:rsidRPr="00582138" w:rsidRDefault="00AA340F" w:rsidP="00175B78">
      <w:pPr>
        <w:ind w:firstLine="709"/>
        <w:jc w:val="both"/>
        <w:rPr>
          <w:sz w:val="22"/>
          <w:szCs w:val="22"/>
        </w:rPr>
      </w:pPr>
    </w:p>
    <w:tbl>
      <w:tblPr>
        <w:tblStyle w:val="aa"/>
        <w:tblW w:w="0" w:type="auto"/>
        <w:jc w:val="center"/>
        <w:tblLayout w:type="fixed"/>
        <w:tblLook w:val="04A0" w:firstRow="1" w:lastRow="0" w:firstColumn="1" w:lastColumn="0" w:noHBand="0" w:noVBand="1"/>
      </w:tblPr>
      <w:tblGrid>
        <w:gridCol w:w="1255"/>
        <w:gridCol w:w="1439"/>
        <w:gridCol w:w="1513"/>
        <w:gridCol w:w="1132"/>
        <w:gridCol w:w="1466"/>
        <w:gridCol w:w="1700"/>
        <w:gridCol w:w="1467"/>
      </w:tblGrid>
      <w:tr w:rsidR="00575D8C" w:rsidRPr="00E93323" w14:paraId="0C5E9275" w14:textId="77777777" w:rsidTr="00575D8C">
        <w:trPr>
          <w:jc w:val="center"/>
        </w:trPr>
        <w:tc>
          <w:tcPr>
            <w:tcW w:w="1255" w:type="dxa"/>
            <w:vMerge w:val="restart"/>
          </w:tcPr>
          <w:p w14:paraId="2AC7959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Условный номер</w:t>
            </w:r>
          </w:p>
        </w:tc>
        <w:tc>
          <w:tcPr>
            <w:tcW w:w="1439" w:type="dxa"/>
            <w:vMerge w:val="restart"/>
          </w:tcPr>
          <w:p w14:paraId="45C1760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Назначение</w:t>
            </w:r>
          </w:p>
        </w:tc>
        <w:tc>
          <w:tcPr>
            <w:tcW w:w="1513" w:type="dxa"/>
            <w:vMerge w:val="restart"/>
          </w:tcPr>
          <w:p w14:paraId="29DAA82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Этаж, на котором расположено Помещение</w:t>
            </w:r>
          </w:p>
        </w:tc>
        <w:tc>
          <w:tcPr>
            <w:tcW w:w="1132" w:type="dxa"/>
            <w:vMerge w:val="restart"/>
          </w:tcPr>
          <w:p w14:paraId="44722C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Номер подъезда</w:t>
            </w:r>
          </w:p>
        </w:tc>
        <w:tc>
          <w:tcPr>
            <w:tcW w:w="1466" w:type="dxa"/>
            <w:vMerge w:val="restart"/>
          </w:tcPr>
          <w:p w14:paraId="6B138B6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vertAlign w:val="superscript"/>
              </w:rPr>
            </w:pPr>
            <w:r w:rsidRPr="00E93323">
              <w:rPr>
                <w:sz w:val="23"/>
                <w:szCs w:val="23"/>
              </w:rPr>
              <w:t>Площадь Помещения (проектная), м</w:t>
            </w:r>
            <w:r w:rsidRPr="00E93323">
              <w:rPr>
                <w:sz w:val="23"/>
                <w:szCs w:val="23"/>
                <w:vertAlign w:val="superscript"/>
              </w:rPr>
              <w:t>2</w:t>
            </w:r>
          </w:p>
        </w:tc>
        <w:tc>
          <w:tcPr>
            <w:tcW w:w="3167" w:type="dxa"/>
            <w:gridSpan w:val="2"/>
          </w:tcPr>
          <w:p w14:paraId="67D909E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частей Помещения (проектная) м</w:t>
            </w:r>
            <w:r w:rsidRPr="00E93323">
              <w:rPr>
                <w:sz w:val="23"/>
                <w:szCs w:val="23"/>
                <w:vertAlign w:val="superscript"/>
              </w:rPr>
              <w:t>2</w:t>
            </w:r>
          </w:p>
        </w:tc>
      </w:tr>
      <w:tr w:rsidR="00575D8C" w:rsidRPr="00E93323" w14:paraId="3131159F" w14:textId="77777777" w:rsidTr="00575D8C">
        <w:trPr>
          <w:jc w:val="center"/>
        </w:trPr>
        <w:tc>
          <w:tcPr>
            <w:tcW w:w="1255" w:type="dxa"/>
            <w:vMerge/>
          </w:tcPr>
          <w:p w14:paraId="23253F5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tcPr>
          <w:p w14:paraId="66FAAB5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tcPr>
          <w:p w14:paraId="398CFDA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tcPr>
          <w:p w14:paraId="70ECCF7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tcPr>
          <w:p w14:paraId="47DF8DC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664ECFD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Наименование помещения</w:t>
            </w:r>
          </w:p>
        </w:tc>
        <w:tc>
          <w:tcPr>
            <w:tcW w:w="1467" w:type="dxa"/>
          </w:tcPr>
          <w:p w14:paraId="7888BFC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(проектная), м</w:t>
            </w:r>
            <w:r w:rsidRPr="00E93323">
              <w:rPr>
                <w:sz w:val="23"/>
                <w:szCs w:val="23"/>
                <w:vertAlign w:val="superscript"/>
              </w:rPr>
              <w:t>2</w:t>
            </w:r>
          </w:p>
        </w:tc>
      </w:tr>
      <w:tr w:rsidR="00575D8C" w:rsidRPr="00E93323" w14:paraId="4D7D9B9A" w14:textId="77777777" w:rsidTr="00575D8C">
        <w:trPr>
          <w:jc w:val="center"/>
        </w:trPr>
        <w:tc>
          <w:tcPr>
            <w:tcW w:w="1255" w:type="dxa"/>
            <w:vMerge w:val="restart"/>
            <w:vAlign w:val="center"/>
          </w:tcPr>
          <w:p w14:paraId="43174BC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val="restart"/>
            <w:vAlign w:val="center"/>
          </w:tcPr>
          <w:p w14:paraId="6FC20087"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val="restart"/>
            <w:vAlign w:val="center"/>
          </w:tcPr>
          <w:p w14:paraId="009B3DF2"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val="restart"/>
            <w:vAlign w:val="center"/>
          </w:tcPr>
          <w:p w14:paraId="5EA42CF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val="restart"/>
            <w:vAlign w:val="center"/>
          </w:tcPr>
          <w:p w14:paraId="5B5E584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4D6D587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76E86BD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02705A51" w14:textId="77777777" w:rsidTr="00575D8C">
        <w:trPr>
          <w:jc w:val="center"/>
        </w:trPr>
        <w:tc>
          <w:tcPr>
            <w:tcW w:w="1255" w:type="dxa"/>
            <w:vMerge/>
          </w:tcPr>
          <w:p w14:paraId="66C738E3"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03DE436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00CD296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59B928FB"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F660E9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794B4B6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58990C0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26740D06" w14:textId="77777777" w:rsidTr="00575D8C">
        <w:trPr>
          <w:jc w:val="center"/>
        </w:trPr>
        <w:tc>
          <w:tcPr>
            <w:tcW w:w="1255" w:type="dxa"/>
            <w:vMerge/>
          </w:tcPr>
          <w:p w14:paraId="2B45981D"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27E95D57"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3EAEA40E"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4CD87192"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689C8A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0EE293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2532BC7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bl>
    <w:p w14:paraId="054561A5" w14:textId="77777777" w:rsidR="00B4644D" w:rsidRPr="00582138" w:rsidRDefault="00B4644D" w:rsidP="00175B78">
      <w:pPr>
        <w:ind w:firstLine="709"/>
        <w:jc w:val="both"/>
        <w:rPr>
          <w:sz w:val="22"/>
          <w:szCs w:val="22"/>
        </w:rPr>
      </w:pPr>
    </w:p>
    <w:p w14:paraId="4C1F84DC" w14:textId="77777777" w:rsidR="00575D8C" w:rsidRPr="00582138" w:rsidRDefault="00575D8C" w:rsidP="00575D8C">
      <w:pPr>
        <w:ind w:firstLine="709"/>
        <w:jc w:val="both"/>
        <w:rPr>
          <w:sz w:val="22"/>
          <w:szCs w:val="22"/>
        </w:rPr>
      </w:pPr>
      <w:r w:rsidRPr="00582138">
        <w:rPr>
          <w:sz w:val="22"/>
          <w:szCs w:val="22"/>
        </w:rPr>
        <w:t xml:space="preserve">Основные характеристики </w:t>
      </w:r>
      <w:r>
        <w:rPr>
          <w:sz w:val="22"/>
          <w:szCs w:val="22"/>
        </w:rPr>
        <w:t>Помещения</w:t>
      </w:r>
      <w:r w:rsidRPr="00582138">
        <w:rPr>
          <w:sz w:val="22"/>
          <w:szCs w:val="22"/>
        </w:rPr>
        <w:t>,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7038BBCB" w14:textId="77777777" w:rsidR="00575D8C" w:rsidRPr="00582138" w:rsidRDefault="00575D8C" w:rsidP="00575D8C">
      <w:pPr>
        <w:ind w:firstLine="709"/>
        <w:jc w:val="both"/>
        <w:rPr>
          <w:sz w:val="22"/>
          <w:szCs w:val="22"/>
        </w:rPr>
      </w:pPr>
      <w:r w:rsidRPr="00582138">
        <w:rPr>
          <w:sz w:val="22"/>
          <w:szCs w:val="22"/>
        </w:rPr>
        <w:t>Оконч</w:t>
      </w:r>
      <w:r>
        <w:rPr>
          <w:sz w:val="22"/>
          <w:szCs w:val="22"/>
        </w:rPr>
        <w:t>ательные характеристики Помещения</w:t>
      </w:r>
      <w:r w:rsidRPr="00582138">
        <w:rPr>
          <w:sz w:val="22"/>
          <w:szCs w:val="22"/>
        </w:rPr>
        <w:t xml:space="preserve"> будут определены после завершения строительства Здания</w:t>
      </w:r>
      <w:r>
        <w:rPr>
          <w:sz w:val="22"/>
          <w:szCs w:val="22"/>
        </w:rPr>
        <w:t xml:space="preserve"> по результатам обмеров Помещения</w:t>
      </w:r>
      <w:r w:rsidRPr="00582138">
        <w:rPr>
          <w:sz w:val="22"/>
          <w:szCs w:val="22"/>
        </w:rPr>
        <w:t xml:space="preserve"> юридическим лицом, оказывающим услуги в сфере технической инвентаризации и/или кадастрового учета.</w:t>
      </w:r>
    </w:p>
    <w:p w14:paraId="4B894CB6" w14:textId="77777777" w:rsidR="00575D8C" w:rsidRPr="00356D07" w:rsidRDefault="00575D8C" w:rsidP="00575D8C">
      <w:pPr>
        <w:ind w:firstLine="709"/>
        <w:jc w:val="both"/>
        <w:rPr>
          <w:sz w:val="22"/>
          <w:szCs w:val="22"/>
        </w:rPr>
      </w:pPr>
      <w:r>
        <w:rPr>
          <w:sz w:val="22"/>
          <w:szCs w:val="22"/>
        </w:rPr>
        <w:t>Помещение должно</w:t>
      </w:r>
      <w:r w:rsidRPr="00582138">
        <w:rPr>
          <w:sz w:val="22"/>
          <w:szCs w:val="22"/>
        </w:rPr>
        <w:t xml:space="preserve"> соответствовать Техническим характеристикам, указанным в Приложении № </w:t>
      </w:r>
      <w:r>
        <w:rPr>
          <w:sz w:val="22"/>
          <w:szCs w:val="22"/>
        </w:rPr>
        <w:t xml:space="preserve">3 </w:t>
      </w:r>
      <w:r w:rsidRPr="00356D07">
        <w:rPr>
          <w:sz w:val="22"/>
          <w:szCs w:val="22"/>
        </w:rPr>
        <w:t>к настоящему Договору.</w:t>
      </w:r>
    </w:p>
    <w:p w14:paraId="6D50C698" w14:textId="77777777" w:rsidR="00575D8C" w:rsidRPr="001969CE" w:rsidRDefault="00575D8C" w:rsidP="001969CE">
      <w:pPr>
        <w:ind w:firstLine="709"/>
        <w:jc w:val="both"/>
        <w:rPr>
          <w:sz w:val="22"/>
          <w:szCs w:val="22"/>
        </w:rPr>
      </w:pPr>
      <w:r w:rsidRPr="001969CE">
        <w:rPr>
          <w:rStyle w:val="23"/>
          <w:rFonts w:eastAsia="Calibri"/>
          <w:sz w:val="22"/>
          <w:szCs w:val="22"/>
        </w:rPr>
        <w:t>Площадь (проектная)</w:t>
      </w:r>
      <w:r w:rsidRPr="001969CE">
        <w:rPr>
          <w:sz w:val="22"/>
          <w:szCs w:val="22"/>
        </w:rPr>
        <w:t>, указанная в Таблице (далее – «</w:t>
      </w:r>
      <w:r w:rsidRPr="001969CE">
        <w:rPr>
          <w:rStyle w:val="23"/>
          <w:rFonts w:eastAsia="Calibri"/>
          <w:sz w:val="22"/>
          <w:szCs w:val="22"/>
        </w:rPr>
        <w:t>Проектная площадь Помещения»</w:t>
      </w:r>
      <w:r w:rsidRPr="001969CE">
        <w:rPr>
          <w:sz w:val="22"/>
          <w:szCs w:val="22"/>
        </w:rPr>
        <w:t>), определена на основании проектной документации и состоит из суммы площадей всех частей Помещения.</w:t>
      </w:r>
    </w:p>
    <w:p w14:paraId="4EDFA550" w14:textId="77777777" w:rsidR="00575D8C" w:rsidRPr="001969CE" w:rsidRDefault="00575D8C" w:rsidP="001969CE">
      <w:pPr>
        <w:pStyle w:val="22"/>
        <w:shd w:val="clear" w:color="auto" w:fill="auto"/>
        <w:spacing w:before="0" w:after="0" w:line="240" w:lineRule="auto"/>
        <w:ind w:firstLine="760"/>
      </w:pPr>
      <w:r w:rsidRPr="001969CE">
        <w:rPr>
          <w:b/>
        </w:rPr>
        <w:t>Общая площадь (фактическая)</w:t>
      </w:r>
      <w:r w:rsidRPr="001969CE">
        <w:t xml:space="preserve"> (далее – «</w:t>
      </w:r>
      <w:r w:rsidRPr="001969CE">
        <w:rPr>
          <w:b/>
        </w:rPr>
        <w:t>Фактическая общая площадь Помещения</w:t>
      </w:r>
      <w:r w:rsidRPr="001969CE">
        <w:t xml:space="preserve">»), 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Фактическая площадь Помещения используется для определения окончательной Цены Договора в соответствии с п. 4.2. Договора и проведения Сторонами взаиморасчетов на основании п. 4.6. Договора. Сторонами допускается отклонение Фактической площади Помещения от Проектной площади Помещения (как в большую, так </w:t>
      </w:r>
      <w:r w:rsidRPr="001969CE">
        <w:lastRenderedPageBreak/>
        <w:t>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74D5BDB5" w14:textId="77777777" w:rsidR="00575D8C" w:rsidRPr="00F53E4C" w:rsidRDefault="00575D8C" w:rsidP="00575D8C">
      <w:pPr>
        <w:pStyle w:val="22"/>
        <w:shd w:val="clear" w:color="auto" w:fill="auto"/>
        <w:spacing w:before="0" w:after="0" w:line="240" w:lineRule="auto"/>
        <w:ind w:firstLine="760"/>
      </w:pPr>
      <w:r w:rsidRPr="00F53E4C">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 2 к Договору.</w:t>
      </w:r>
    </w:p>
    <w:p w14:paraId="46DBCC2E" w14:textId="77777777" w:rsidR="00575D8C" w:rsidRPr="00582138" w:rsidRDefault="00575D8C" w:rsidP="00575D8C">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14:paraId="25EDF14D" w14:textId="2C804BE0"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24D8B">
        <w:rPr>
          <w:b/>
          <w:sz w:val="22"/>
          <w:szCs w:val="22"/>
        </w:rPr>
        <w:t>01 марта 2024</w:t>
      </w:r>
      <w:r w:rsidR="001D3ACE">
        <w:rPr>
          <w:b/>
          <w:sz w:val="22"/>
          <w:szCs w:val="22"/>
        </w:rPr>
        <w:t xml:space="preserve"> года. </w:t>
      </w:r>
    </w:p>
    <w:p w14:paraId="344EE07A" w14:textId="240BCA3C"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w:t>
      </w:r>
      <w:r w:rsidR="00575D8C">
        <w:rPr>
          <w:sz w:val="22"/>
          <w:szCs w:val="22"/>
        </w:rPr>
        <w:t>Помещения</w:t>
      </w:r>
      <w:r w:rsidRPr="00582138">
        <w:rPr>
          <w:sz w:val="22"/>
          <w:szCs w:val="22"/>
        </w:rPr>
        <w:t xml:space="preserve"> Участнику долевого строительства - </w:t>
      </w:r>
      <w:r w:rsidRPr="00D85A8A">
        <w:rPr>
          <w:b/>
          <w:sz w:val="22"/>
          <w:szCs w:val="22"/>
        </w:rPr>
        <w:t xml:space="preserve">не позднее </w:t>
      </w:r>
      <w:r w:rsidR="00224D8B">
        <w:rPr>
          <w:b/>
          <w:sz w:val="22"/>
          <w:szCs w:val="22"/>
        </w:rPr>
        <w:t>31 августа</w:t>
      </w:r>
      <w:r w:rsidR="001D3ACE">
        <w:rPr>
          <w:b/>
          <w:sz w:val="22"/>
          <w:szCs w:val="22"/>
        </w:rPr>
        <w:t xml:space="preserve"> </w:t>
      </w:r>
      <w:r w:rsidR="00847B85" w:rsidRPr="00D85A8A">
        <w:rPr>
          <w:b/>
          <w:sz w:val="22"/>
          <w:szCs w:val="22"/>
        </w:rPr>
        <w:t>20</w:t>
      </w:r>
      <w:r w:rsidR="00224D8B">
        <w:rPr>
          <w:b/>
          <w:sz w:val="22"/>
          <w:szCs w:val="22"/>
        </w:rPr>
        <w:t>24</w:t>
      </w:r>
      <w:r w:rsidR="00B57F11" w:rsidRPr="00D85A8A">
        <w:rPr>
          <w:b/>
          <w:sz w:val="22"/>
          <w:szCs w:val="22"/>
        </w:rPr>
        <w:t xml:space="preserve"> </w:t>
      </w:r>
      <w:r w:rsidR="002740F4">
        <w:rPr>
          <w:b/>
          <w:sz w:val="22"/>
          <w:szCs w:val="22"/>
        </w:rPr>
        <w:t>года.</w:t>
      </w:r>
    </w:p>
    <w:p w14:paraId="0D35A95D" w14:textId="77777777" w:rsidR="00575D8C" w:rsidRPr="00F53E4C" w:rsidRDefault="00575D8C" w:rsidP="00575D8C">
      <w:pPr>
        <w:ind w:firstLine="567"/>
        <w:jc w:val="both"/>
        <w:rPr>
          <w:rFonts w:eastAsia="Times New Roman"/>
          <w:sz w:val="22"/>
          <w:szCs w:val="22"/>
        </w:rPr>
      </w:pPr>
      <w:r w:rsidRPr="00F53E4C">
        <w:rPr>
          <w:rFonts w:eastAsia="Times New Roman"/>
          <w:sz w:val="22"/>
          <w:szCs w:val="22"/>
        </w:rPr>
        <w:t>Срок передачи Застройщиком Объекта долевого строительс</w:t>
      </w:r>
      <w:r>
        <w:rPr>
          <w:rFonts w:eastAsia="Times New Roman"/>
          <w:sz w:val="22"/>
          <w:szCs w:val="22"/>
        </w:rPr>
        <w:t>т</w:t>
      </w:r>
      <w:r w:rsidRPr="00F53E4C">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14:paraId="5EAF0CC1" w14:textId="77777777" w:rsidR="00575D8C" w:rsidRPr="00582138" w:rsidRDefault="00575D8C" w:rsidP="00575D8C">
      <w:pPr>
        <w:tabs>
          <w:tab w:val="num" w:pos="180"/>
          <w:tab w:val="num" w:pos="1125"/>
        </w:tabs>
        <w:ind w:firstLine="720"/>
        <w:jc w:val="both"/>
        <w:rPr>
          <w:sz w:val="22"/>
          <w:szCs w:val="22"/>
        </w:rPr>
      </w:pPr>
      <w:r w:rsidRPr="00582138">
        <w:rPr>
          <w:sz w:val="22"/>
          <w:szCs w:val="22"/>
        </w:rPr>
        <w:t xml:space="preserve">1.6. Застройщик гарантирует отсутствие иных договоров участия в долевом строительстве, заключенных в отношении </w:t>
      </w:r>
      <w:r>
        <w:rPr>
          <w:sz w:val="22"/>
          <w:szCs w:val="22"/>
        </w:rPr>
        <w:t>Помещения</w:t>
      </w:r>
      <w:r w:rsidRPr="00582138">
        <w:rPr>
          <w:sz w:val="22"/>
          <w:szCs w:val="22"/>
        </w:rPr>
        <w:t xml:space="preserve">, а также каких-либо обременений правами третьих лиц и иных правовых ограничений на </w:t>
      </w:r>
      <w:r>
        <w:rPr>
          <w:sz w:val="22"/>
          <w:szCs w:val="22"/>
        </w:rPr>
        <w:t>Помещение</w:t>
      </w:r>
      <w:r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Pr>
          <w:sz w:val="22"/>
          <w:szCs w:val="22"/>
        </w:rPr>
        <w:t>Помещения</w:t>
      </w:r>
      <w:r w:rsidRPr="00582138">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4DCE7303"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224D8B">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xml:space="preserve">, открытого у Эскроу-агента, для возврата депонируемой суммы, при наличии оснований по Договору Эскроу, а также информация о </w:t>
      </w:r>
      <w:r w:rsidRPr="00582138">
        <w:rPr>
          <w:sz w:val="22"/>
          <w:szCs w:val="22"/>
        </w:rPr>
        <w:lastRenderedPageBreak/>
        <w:t>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1CAF60C0" w14:textId="77777777" w:rsidR="00575D8C" w:rsidRPr="00582138" w:rsidRDefault="00575D8C" w:rsidP="00575D8C">
      <w:pPr>
        <w:tabs>
          <w:tab w:val="num" w:pos="180"/>
          <w:tab w:val="num" w:pos="1125"/>
        </w:tabs>
        <w:ind w:firstLine="709"/>
        <w:jc w:val="both"/>
        <w:rPr>
          <w:sz w:val="22"/>
          <w:szCs w:val="22"/>
        </w:rPr>
      </w:pPr>
      <w:r w:rsidRPr="00582138">
        <w:rPr>
          <w:sz w:val="22"/>
          <w:szCs w:val="22"/>
        </w:rPr>
        <w:t>1.12</w:t>
      </w:r>
      <w:r>
        <w:rPr>
          <w:sz w:val="22"/>
          <w:szCs w:val="22"/>
        </w:rPr>
        <w:t>. Помещение</w:t>
      </w:r>
      <w:r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Pr>
          <w:sz w:val="22"/>
          <w:szCs w:val="22"/>
        </w:rPr>
        <w:t>Помещения</w:t>
      </w:r>
      <w:r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Pr>
          <w:sz w:val="22"/>
          <w:szCs w:val="22"/>
        </w:rPr>
        <w:t>Помещения</w:t>
      </w:r>
      <w:r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6591D515"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575D8C">
        <w:rPr>
          <w:sz w:val="22"/>
          <w:szCs w:val="22"/>
        </w:rPr>
        <w:t>Помещения</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575D8C">
        <w:rPr>
          <w:sz w:val="22"/>
          <w:szCs w:val="22"/>
        </w:rPr>
        <w:t>Помещение</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14958B45" w14:textId="77777777" w:rsidR="00224D8B" w:rsidRPr="00582138" w:rsidRDefault="00224D8B" w:rsidP="00224D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480C9FB9" w14:textId="77777777" w:rsidR="00224D8B" w:rsidRPr="00582138" w:rsidRDefault="00224D8B" w:rsidP="00224D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275844E4" w14:textId="77777777" w:rsidR="00224D8B" w:rsidRPr="00582138" w:rsidRDefault="00224D8B" w:rsidP="00224D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7E0EF0E8" w14:textId="77777777" w:rsidR="00575D8C" w:rsidRPr="00582138" w:rsidRDefault="00575D8C" w:rsidP="00575D8C">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14:paraId="1E3CEA4C"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Pr>
          <w:sz w:val="22"/>
          <w:szCs w:val="22"/>
        </w:rPr>
        <w:t>Помещения</w:t>
      </w:r>
      <w:r w:rsidRPr="00582138">
        <w:rPr>
          <w:sz w:val="22"/>
          <w:szCs w:val="22"/>
        </w:rPr>
        <w:t xml:space="preserve">. </w:t>
      </w:r>
    </w:p>
    <w:p w14:paraId="21F51C62"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w:t>
      </w:r>
      <w:r>
        <w:rPr>
          <w:sz w:val="22"/>
          <w:szCs w:val="22"/>
        </w:rPr>
        <w:t>в эксплуатацию передать Помещение</w:t>
      </w:r>
      <w:r w:rsidRPr="00582138">
        <w:rPr>
          <w:sz w:val="22"/>
          <w:szCs w:val="22"/>
        </w:rPr>
        <w:t xml:space="preserve"> Участнику по Акту приёма-передачи в соответствии с условиями настоящего Договора. </w:t>
      </w:r>
    </w:p>
    <w:p w14:paraId="534EACF9" w14:textId="77777777" w:rsidR="00575D8C" w:rsidRPr="00582138" w:rsidRDefault="00575D8C" w:rsidP="00575D8C">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14:paraId="0C4EB057" w14:textId="77777777" w:rsidR="00575D8C" w:rsidRPr="00582138" w:rsidRDefault="00575D8C" w:rsidP="00575D8C">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1CFB1F4" w14:textId="77777777" w:rsidR="00575D8C" w:rsidRPr="00582138" w:rsidRDefault="00575D8C" w:rsidP="00575D8C">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w:t>
      </w:r>
      <w:r>
        <w:rPr>
          <w:sz w:val="22"/>
          <w:szCs w:val="22"/>
        </w:rPr>
        <w:t>а передачи Застройщиком Помещения</w:t>
      </w:r>
      <w:r w:rsidRPr="00582138">
        <w:rPr>
          <w:sz w:val="22"/>
          <w:szCs w:val="22"/>
        </w:rPr>
        <w:t xml:space="preserve"> Участнику долевого строительства, направляет Участнику долевого </w:t>
      </w:r>
      <w:r w:rsidRPr="00582138">
        <w:rPr>
          <w:sz w:val="22"/>
          <w:szCs w:val="22"/>
        </w:rPr>
        <w:lastRenderedPageBreak/>
        <w:t xml:space="preserve">строительства сообщение о завершении строительства (создания) </w:t>
      </w:r>
      <w:r>
        <w:rPr>
          <w:sz w:val="22"/>
          <w:szCs w:val="22"/>
        </w:rPr>
        <w:t>Здания и о готовности Помещения</w:t>
      </w:r>
      <w:r w:rsidRPr="00582138">
        <w:rPr>
          <w:sz w:val="22"/>
          <w:szCs w:val="22"/>
        </w:rPr>
        <w:t xml:space="preserve"> к передаче, а также предупреждает Участника долевого строительства о</w:t>
      </w:r>
      <w:r>
        <w:rPr>
          <w:sz w:val="22"/>
          <w:szCs w:val="22"/>
        </w:rPr>
        <w:t xml:space="preserve"> необходимости принятия Помещения</w:t>
      </w:r>
      <w:r w:rsidRPr="00582138">
        <w:rPr>
          <w:sz w:val="22"/>
          <w:szCs w:val="22"/>
        </w:rPr>
        <w:t xml:space="preserve"> и о последствиях бездействия Участника долевого строительства, предусмотренных настоящим Договором.</w:t>
      </w:r>
    </w:p>
    <w:p w14:paraId="57EAA7E5"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6037D641" w14:textId="77777777" w:rsidR="00575D8C" w:rsidRPr="00582138" w:rsidRDefault="00575D8C" w:rsidP="00575D8C">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w:t>
      </w:r>
      <w:r>
        <w:rPr>
          <w:sz w:val="22"/>
          <w:szCs w:val="22"/>
        </w:rPr>
        <w:t>Помещение, качество которого</w:t>
      </w:r>
      <w:r w:rsidRPr="00582138">
        <w:rPr>
          <w:sz w:val="22"/>
          <w:szCs w:val="22"/>
        </w:rPr>
        <w:t xml:space="preserve"> должно соответствовать проектной документации, а т</w:t>
      </w:r>
      <w:r>
        <w:rPr>
          <w:sz w:val="22"/>
          <w:szCs w:val="22"/>
        </w:rPr>
        <w:t>акже комплект ключей от Помещения</w:t>
      </w:r>
      <w:r w:rsidRPr="00582138">
        <w:rPr>
          <w:sz w:val="22"/>
          <w:szCs w:val="22"/>
        </w:rPr>
        <w:t xml:space="preserve">. При этом допускается досрочное исполнение Застройщиком обязательства по передаче </w:t>
      </w:r>
      <w:r>
        <w:rPr>
          <w:sz w:val="22"/>
          <w:szCs w:val="22"/>
        </w:rPr>
        <w:t>Помещения</w:t>
      </w:r>
      <w:r w:rsidRPr="00582138">
        <w:rPr>
          <w:sz w:val="22"/>
          <w:szCs w:val="22"/>
        </w:rPr>
        <w:t xml:space="preserve">,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w:t>
      </w:r>
      <w:r>
        <w:rPr>
          <w:rFonts w:eastAsia="Times New Roman"/>
          <w:sz w:val="22"/>
          <w:szCs w:val="22"/>
        </w:rPr>
        <w:t>Помещения</w:t>
      </w:r>
      <w:r w:rsidRPr="00582138">
        <w:rPr>
          <w:rFonts w:eastAsia="Times New Roman"/>
          <w:sz w:val="22"/>
          <w:szCs w:val="22"/>
        </w:rPr>
        <w:t xml:space="preserve">. </w:t>
      </w:r>
      <w:r>
        <w:rPr>
          <w:sz w:val="22"/>
          <w:szCs w:val="22"/>
        </w:rPr>
        <w:t>При досрочной передаче Помещения</w:t>
      </w:r>
      <w:r w:rsidRPr="00582138">
        <w:rPr>
          <w:sz w:val="22"/>
          <w:szCs w:val="22"/>
        </w:rPr>
        <w:t xml:space="preserve"> Стороны применяют предусмотренный п. 3.2.2. Договора порядок передачи и исполнения необходимых дл</w:t>
      </w:r>
      <w:r>
        <w:rPr>
          <w:sz w:val="22"/>
          <w:szCs w:val="22"/>
        </w:rPr>
        <w:t>я передачи Помещения</w:t>
      </w:r>
      <w:r w:rsidRPr="00582138">
        <w:rPr>
          <w:sz w:val="22"/>
          <w:szCs w:val="22"/>
        </w:rPr>
        <w:t xml:space="preserve"> обязательств.</w:t>
      </w:r>
    </w:p>
    <w:p w14:paraId="59236230"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В Передаточном акте указываются дата передачи, основные характеристики </w:t>
      </w:r>
      <w:r>
        <w:rPr>
          <w:sz w:val="22"/>
          <w:szCs w:val="22"/>
        </w:rPr>
        <w:t>Помещения</w:t>
      </w:r>
      <w:r w:rsidRPr="00582138">
        <w:rPr>
          <w:sz w:val="22"/>
          <w:szCs w:val="22"/>
        </w:rPr>
        <w:t xml:space="preserve">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w:t>
      </w:r>
      <w:r>
        <w:rPr>
          <w:sz w:val="22"/>
          <w:szCs w:val="22"/>
        </w:rPr>
        <w:t>рукция по эксплуатации Помещения</w:t>
      </w:r>
      <w:r w:rsidRPr="00582138">
        <w:rPr>
          <w:sz w:val="22"/>
          <w:szCs w:val="22"/>
        </w:rPr>
        <w:t xml:space="preserve">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w:t>
      </w:r>
      <w:r>
        <w:rPr>
          <w:sz w:val="22"/>
          <w:szCs w:val="22"/>
        </w:rPr>
        <w:t>зопасного использования Помещения</w:t>
      </w:r>
      <w:r w:rsidRPr="00582138">
        <w:rPr>
          <w:sz w:val="22"/>
          <w:szCs w:val="22"/>
        </w:rPr>
        <w:t xml:space="preserve">, сроке </w:t>
      </w:r>
      <w:r>
        <w:rPr>
          <w:sz w:val="22"/>
          <w:szCs w:val="22"/>
        </w:rPr>
        <w:t>его</w:t>
      </w:r>
      <w:r w:rsidRPr="00582138">
        <w:rPr>
          <w:sz w:val="22"/>
          <w:szCs w:val="22"/>
        </w:rPr>
        <w:t xml:space="preserve"> службы и входящих в состав элементов отделки (при их наличии), систем инженерно-технического обеспечения, конструктивных элементов, изделий.</w:t>
      </w:r>
    </w:p>
    <w:p w14:paraId="3D7ABED4"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w:t>
      </w:r>
      <w:r>
        <w:rPr>
          <w:sz w:val="22"/>
          <w:szCs w:val="22"/>
        </w:rPr>
        <w:t>Помещения</w:t>
      </w:r>
      <w:r w:rsidRPr="00582138">
        <w:rPr>
          <w:sz w:val="22"/>
          <w:szCs w:val="22"/>
        </w:rPr>
        <w:t xml:space="preserve">,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14:paraId="28F79A5E"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14:paraId="3DE9C956" w14:textId="77777777" w:rsidR="00575D8C" w:rsidRPr="00582138" w:rsidRDefault="00575D8C" w:rsidP="00575D8C">
      <w:pPr>
        <w:ind w:firstLine="709"/>
        <w:jc w:val="both"/>
        <w:rPr>
          <w:sz w:val="22"/>
          <w:szCs w:val="22"/>
        </w:rPr>
      </w:pPr>
      <w:r w:rsidRPr="00582138">
        <w:rPr>
          <w:sz w:val="22"/>
          <w:szCs w:val="22"/>
        </w:rPr>
        <w:t>3.1.9. Застройщик вправе по своему усмотрению выбрать для пров</w:t>
      </w:r>
      <w:r>
        <w:rPr>
          <w:sz w:val="22"/>
          <w:szCs w:val="22"/>
        </w:rPr>
        <w:t>едения обмеров Здания и Помещения</w:t>
      </w:r>
      <w:r w:rsidRPr="00582138">
        <w:rPr>
          <w:sz w:val="22"/>
          <w:szCs w:val="22"/>
        </w:rPr>
        <w:t xml:space="preserve">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14:paraId="4CDDC321"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w:t>
      </w:r>
      <w:r>
        <w:rPr>
          <w:sz w:val="22"/>
          <w:szCs w:val="22"/>
        </w:rPr>
        <w:t>бот по обмерам Здания и Помещения</w:t>
      </w:r>
      <w:r w:rsidRPr="00582138">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14:paraId="7293AF7D"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1B825270" w14:textId="77777777" w:rsidR="00575D8C" w:rsidRPr="00582138" w:rsidRDefault="00575D8C" w:rsidP="00575D8C">
      <w:pPr>
        <w:ind w:firstLine="720"/>
        <w:jc w:val="both"/>
        <w:rPr>
          <w:b/>
          <w:sz w:val="22"/>
          <w:szCs w:val="22"/>
        </w:rPr>
      </w:pPr>
      <w:r w:rsidRPr="00582138">
        <w:rPr>
          <w:b/>
          <w:sz w:val="22"/>
          <w:szCs w:val="22"/>
        </w:rPr>
        <w:t>3.2. Обязательства и права Участника долевого строительства:</w:t>
      </w:r>
    </w:p>
    <w:p w14:paraId="71A156CB" w14:textId="77777777" w:rsidR="00575D8C" w:rsidRPr="00582138" w:rsidRDefault="00575D8C" w:rsidP="00575D8C">
      <w:pPr>
        <w:ind w:firstLine="720"/>
        <w:jc w:val="both"/>
        <w:rPr>
          <w:sz w:val="22"/>
          <w:szCs w:val="22"/>
        </w:rPr>
      </w:pPr>
      <w:r w:rsidRPr="00582138">
        <w:rPr>
          <w:sz w:val="22"/>
          <w:szCs w:val="22"/>
        </w:rPr>
        <w:t xml:space="preserve">3.2.1. Обязуется оплатить на условиях и в порядке, предусмотренных настоящим Договором, Цену Договора и принять </w:t>
      </w:r>
      <w:r>
        <w:rPr>
          <w:sz w:val="22"/>
          <w:szCs w:val="22"/>
        </w:rPr>
        <w:t>Помещение</w:t>
      </w:r>
      <w:r w:rsidRPr="00582138">
        <w:rPr>
          <w:sz w:val="22"/>
          <w:szCs w:val="22"/>
        </w:rPr>
        <w:t xml:space="preserve">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558BAE38" w14:textId="77777777" w:rsidR="00575D8C" w:rsidRPr="00582138" w:rsidRDefault="00575D8C" w:rsidP="00575D8C">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w:t>
      </w:r>
      <w:r>
        <w:rPr>
          <w:sz w:val="22"/>
          <w:szCs w:val="22"/>
        </w:rPr>
        <w:t>Помещения</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w:t>
      </w:r>
      <w:r>
        <w:rPr>
          <w:sz w:val="22"/>
          <w:szCs w:val="22"/>
        </w:rPr>
        <w:t>Помещение</w:t>
      </w:r>
      <w:r w:rsidRPr="00582138">
        <w:rPr>
          <w:sz w:val="22"/>
          <w:szCs w:val="22"/>
        </w:rPr>
        <w:t>, качество которо</w:t>
      </w:r>
      <w:r>
        <w:rPr>
          <w:sz w:val="22"/>
          <w:szCs w:val="22"/>
        </w:rPr>
        <w:t>го</w:t>
      </w:r>
      <w:r w:rsidRPr="00582138">
        <w:rPr>
          <w:sz w:val="22"/>
          <w:szCs w:val="22"/>
        </w:rPr>
        <w:t xml:space="preserve"> должно соответствовать проектной документации и условиям настоящего Договора. </w:t>
      </w:r>
    </w:p>
    <w:p w14:paraId="6AA77993" w14:textId="14983B27" w:rsidR="00575D8C" w:rsidRPr="00582138" w:rsidRDefault="00575D8C" w:rsidP="00575D8C">
      <w:pPr>
        <w:ind w:firstLine="720"/>
        <w:jc w:val="both"/>
        <w:rPr>
          <w:sz w:val="22"/>
          <w:szCs w:val="22"/>
        </w:rPr>
      </w:pPr>
      <w:r w:rsidRPr="00582138">
        <w:rPr>
          <w:sz w:val="22"/>
          <w:szCs w:val="22"/>
        </w:rPr>
        <w:t>При наличии у Участника долевого строитель</w:t>
      </w:r>
      <w:r w:rsidR="00B86739">
        <w:rPr>
          <w:sz w:val="22"/>
          <w:szCs w:val="22"/>
        </w:rPr>
        <w:t>ства каких-</w:t>
      </w:r>
      <w:r>
        <w:rPr>
          <w:sz w:val="22"/>
          <w:szCs w:val="22"/>
        </w:rPr>
        <w:t>либо замечаний к Помещению</w:t>
      </w:r>
      <w:r w:rsidRPr="00582138">
        <w:rPr>
          <w:sz w:val="22"/>
          <w:szCs w:val="22"/>
        </w:rPr>
        <w:t>, Стороны одновременно с Передаточным актом подписывают протоко</w:t>
      </w:r>
      <w:r>
        <w:rPr>
          <w:sz w:val="22"/>
          <w:szCs w:val="22"/>
        </w:rPr>
        <w:t>л замечаний в отношении Помещения</w:t>
      </w:r>
      <w:r w:rsidRPr="00582138">
        <w:rPr>
          <w:sz w:val="22"/>
          <w:szCs w:val="22"/>
        </w:rPr>
        <w:t xml:space="preserve">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w:t>
      </w:r>
      <w:r>
        <w:rPr>
          <w:sz w:val="22"/>
          <w:szCs w:val="22"/>
        </w:rPr>
        <w:t>оступ в Помещение</w:t>
      </w:r>
      <w:r w:rsidRPr="00582138">
        <w:rPr>
          <w:sz w:val="22"/>
          <w:szCs w:val="22"/>
        </w:rPr>
        <w:t xml:space="preserve"> для устранения замечаний.</w:t>
      </w:r>
    </w:p>
    <w:p w14:paraId="35EFF76F" w14:textId="77777777" w:rsidR="00575D8C" w:rsidRPr="00582138" w:rsidRDefault="00575D8C" w:rsidP="00575D8C">
      <w:pPr>
        <w:ind w:firstLine="720"/>
        <w:jc w:val="both"/>
        <w:rPr>
          <w:sz w:val="22"/>
          <w:szCs w:val="22"/>
        </w:rPr>
      </w:pPr>
      <w:r w:rsidRPr="00582138">
        <w:rPr>
          <w:sz w:val="22"/>
          <w:szCs w:val="22"/>
        </w:rPr>
        <w:lastRenderedPageBreak/>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w:t>
      </w:r>
      <w:r>
        <w:rPr>
          <w:sz w:val="22"/>
          <w:szCs w:val="22"/>
        </w:rPr>
        <w:t>Помещения</w:t>
      </w:r>
      <w:r w:rsidRPr="00582138">
        <w:rPr>
          <w:sz w:val="22"/>
          <w:szCs w:val="22"/>
        </w:rPr>
        <w:t xml:space="preserve">,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w:t>
      </w:r>
      <w:r>
        <w:rPr>
          <w:sz w:val="22"/>
          <w:szCs w:val="22"/>
        </w:rPr>
        <w:t>Помещения</w:t>
      </w:r>
      <w:r w:rsidRPr="00582138">
        <w:rPr>
          <w:sz w:val="22"/>
          <w:szCs w:val="22"/>
        </w:rPr>
        <w:t xml:space="preserve"> к передаче от Застройщика, составляет односторонний акт о передаче </w:t>
      </w:r>
      <w:r>
        <w:rPr>
          <w:sz w:val="22"/>
          <w:szCs w:val="22"/>
        </w:rPr>
        <w:t>Помещения</w:t>
      </w:r>
      <w:r w:rsidRPr="00582138">
        <w:rPr>
          <w:sz w:val="22"/>
          <w:szCs w:val="22"/>
        </w:rPr>
        <w:t xml:space="preserve"> с указанием на эти обстоятельства. При этом обязательство Застройщика передать </w:t>
      </w:r>
      <w:r>
        <w:rPr>
          <w:sz w:val="22"/>
          <w:szCs w:val="22"/>
        </w:rPr>
        <w:t>Помещение</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Pr>
          <w:sz w:val="22"/>
          <w:szCs w:val="22"/>
        </w:rPr>
        <w:t>Помещения</w:t>
      </w:r>
      <w:r w:rsidRPr="00582138">
        <w:rPr>
          <w:sz w:val="22"/>
          <w:szCs w:val="22"/>
        </w:rPr>
        <w:t xml:space="preserve">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Pr>
          <w:sz w:val="22"/>
          <w:szCs w:val="22"/>
        </w:rPr>
        <w:t>Помещения</w:t>
      </w:r>
      <w:r w:rsidRPr="00582138">
        <w:rPr>
          <w:bCs/>
          <w:sz w:val="22"/>
          <w:szCs w:val="22"/>
        </w:rPr>
        <w:t>.</w:t>
      </w:r>
    </w:p>
    <w:p w14:paraId="51F440E7" w14:textId="77777777" w:rsidR="00575D8C" w:rsidRPr="00582138" w:rsidRDefault="00575D8C" w:rsidP="00575D8C">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w:t>
      </w:r>
      <w:r>
        <w:rPr>
          <w:bCs/>
          <w:sz w:val="22"/>
          <w:szCs w:val="22"/>
        </w:rPr>
        <w:t>Помещения</w:t>
      </w:r>
      <w:r w:rsidRPr="00582138">
        <w:rPr>
          <w:bCs/>
          <w:sz w:val="22"/>
          <w:szCs w:val="22"/>
        </w:rPr>
        <w:t xml:space="preserve"> понимается неподписание в предусмотренный Договором срок по любым причинам Передаточного акта и отсутствие письменной претензии к качеству </w:t>
      </w:r>
      <w:r>
        <w:rPr>
          <w:bCs/>
          <w:sz w:val="22"/>
          <w:szCs w:val="22"/>
        </w:rPr>
        <w:t>Помещения</w:t>
      </w:r>
      <w:r w:rsidRPr="00582138">
        <w:rPr>
          <w:bCs/>
          <w:sz w:val="22"/>
          <w:szCs w:val="22"/>
        </w:rPr>
        <w:t>, направленной Застройщику в порядке п. 9.7.2. настоящего Договора.</w:t>
      </w:r>
    </w:p>
    <w:p w14:paraId="226AC71F" w14:textId="3A58D968" w:rsidR="00575D8C" w:rsidRPr="00582138" w:rsidRDefault="00575D8C" w:rsidP="00575D8C">
      <w:pPr>
        <w:tabs>
          <w:tab w:val="num" w:pos="1440"/>
        </w:tabs>
        <w:ind w:firstLine="720"/>
        <w:jc w:val="both"/>
        <w:rPr>
          <w:sz w:val="22"/>
          <w:szCs w:val="22"/>
        </w:rPr>
      </w:pPr>
      <w:r w:rsidRPr="00582138">
        <w:rPr>
          <w:sz w:val="22"/>
          <w:szCs w:val="22"/>
        </w:rPr>
        <w:t xml:space="preserve">3.2.3. Компенсирует Застройщику расходы по </w:t>
      </w:r>
      <w:r>
        <w:rPr>
          <w:sz w:val="22"/>
          <w:szCs w:val="22"/>
        </w:rPr>
        <w:t>содержанию Помещения</w:t>
      </w:r>
      <w:r w:rsidRPr="00582138">
        <w:rPr>
          <w:sz w:val="22"/>
          <w:szCs w:val="22"/>
        </w:rPr>
        <w:t>, а также расходы по содержан</w:t>
      </w:r>
      <w:r w:rsidR="00A1425C">
        <w:rPr>
          <w:sz w:val="22"/>
          <w:szCs w:val="22"/>
        </w:rPr>
        <w:t>ию Здания пропорционально площад</w:t>
      </w:r>
      <w:r w:rsidRPr="00582138">
        <w:rPr>
          <w:sz w:val="22"/>
          <w:szCs w:val="22"/>
        </w:rPr>
        <w:t xml:space="preserve">и </w:t>
      </w:r>
      <w:r>
        <w:rPr>
          <w:sz w:val="22"/>
          <w:szCs w:val="22"/>
        </w:rPr>
        <w:t>Помещения</w:t>
      </w:r>
      <w:r w:rsidRPr="00582138">
        <w:rPr>
          <w:sz w:val="22"/>
          <w:szCs w:val="22"/>
        </w:rPr>
        <w:t>,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14:paraId="7565A4A2" w14:textId="77777777" w:rsidR="00575D8C" w:rsidRPr="00582138" w:rsidRDefault="00575D8C" w:rsidP="00575D8C">
      <w:pPr>
        <w:tabs>
          <w:tab w:val="num" w:pos="1440"/>
        </w:tabs>
        <w:ind w:firstLine="720"/>
        <w:jc w:val="both"/>
        <w:rPr>
          <w:sz w:val="22"/>
          <w:szCs w:val="22"/>
        </w:rPr>
      </w:pPr>
      <w:r w:rsidRPr="00582138">
        <w:rPr>
          <w:sz w:val="22"/>
          <w:szCs w:val="22"/>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14:paraId="5769D9C7" w14:textId="77777777" w:rsidR="00575D8C" w:rsidRPr="00582138" w:rsidRDefault="00575D8C" w:rsidP="00575D8C">
      <w:pPr>
        <w:tabs>
          <w:tab w:val="num" w:pos="1440"/>
        </w:tabs>
        <w:ind w:firstLine="720"/>
        <w:jc w:val="both"/>
        <w:rPr>
          <w:sz w:val="22"/>
          <w:szCs w:val="22"/>
        </w:rPr>
      </w:pPr>
      <w:r w:rsidRPr="00582138">
        <w:rPr>
          <w:sz w:val="22"/>
          <w:szCs w:val="22"/>
        </w:rPr>
        <w:t xml:space="preserve">3.2.4. Без письменного согласования с Застройщиком не производить каких-либо работ, связанных с изменением планировки или оборудования </w:t>
      </w:r>
      <w:r>
        <w:rPr>
          <w:sz w:val="22"/>
          <w:szCs w:val="22"/>
        </w:rPr>
        <w:t>Помещения</w:t>
      </w:r>
      <w:r w:rsidRPr="00582138">
        <w:rPr>
          <w:sz w:val="22"/>
          <w:szCs w:val="22"/>
        </w:rPr>
        <w:t xml:space="preserve">, до государственной регистрации права собственности на </w:t>
      </w:r>
      <w:r>
        <w:rPr>
          <w:sz w:val="22"/>
          <w:szCs w:val="22"/>
        </w:rPr>
        <w:t>Помещение.</w:t>
      </w:r>
    </w:p>
    <w:p w14:paraId="12D49C1C" w14:textId="77777777" w:rsidR="00575D8C" w:rsidRPr="00582138" w:rsidRDefault="00575D8C" w:rsidP="00575D8C">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w:t>
      </w:r>
      <w:r>
        <w:rPr>
          <w:rFonts w:eastAsia="Times New Roman"/>
          <w:sz w:val="22"/>
          <w:szCs w:val="22"/>
        </w:rPr>
        <w:t>Помещения</w:t>
      </w:r>
      <w:r w:rsidRPr="00582138">
        <w:rPr>
          <w:rFonts w:eastAsia="Times New Roman"/>
          <w:sz w:val="22"/>
          <w:szCs w:val="22"/>
        </w:rPr>
        <w:t xml:space="preserve">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01759878" w14:textId="77777777" w:rsidR="00575D8C" w:rsidRPr="00582138" w:rsidRDefault="00575D8C" w:rsidP="00575D8C">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1766F336" w14:textId="77777777" w:rsidR="00575D8C" w:rsidRPr="00582138" w:rsidRDefault="00575D8C" w:rsidP="00575D8C">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0FDEE520"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B86739">
        <w:rPr>
          <w:bCs/>
          <w:sz w:val="22"/>
          <w:szCs w:val="22"/>
        </w:rPr>
        <w:t>ту и регистрации у Застройщика.</w:t>
      </w:r>
    </w:p>
    <w:p w14:paraId="1044894D" w14:textId="15BE857D" w:rsidR="00575D8C" w:rsidRPr="00582138" w:rsidRDefault="00575D8C" w:rsidP="00575D8C">
      <w:pPr>
        <w:ind w:firstLine="708"/>
        <w:jc w:val="both"/>
        <w:rPr>
          <w:sz w:val="22"/>
          <w:szCs w:val="22"/>
        </w:rPr>
      </w:pPr>
      <w:r w:rsidRPr="00582138">
        <w:rPr>
          <w:bCs/>
          <w:sz w:val="22"/>
          <w:szCs w:val="22"/>
        </w:rPr>
        <w:lastRenderedPageBreak/>
        <w:t xml:space="preserve">3.2.7. Участник </w:t>
      </w:r>
      <w:r w:rsidRPr="00582138">
        <w:rPr>
          <w:sz w:val="22"/>
          <w:szCs w:val="22"/>
        </w:rPr>
        <w:t xml:space="preserve">долевого строительства </w:t>
      </w:r>
      <w:r w:rsidRPr="00582138">
        <w:rPr>
          <w:bCs/>
          <w:sz w:val="22"/>
          <w:szCs w:val="22"/>
        </w:rPr>
        <w:t xml:space="preserve">в день подписания Передаточного акта заключает с Управляющей организацией договор управления Зданием. </w:t>
      </w:r>
      <w:r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w:t>
      </w:r>
      <w:r>
        <w:rPr>
          <w:rFonts w:eastAsia="Times New Roman"/>
          <w:sz w:val="22"/>
          <w:szCs w:val="22"/>
        </w:rPr>
        <w:t>ания соразмерно площади Помещения</w:t>
      </w:r>
      <w:r w:rsidRPr="00582138">
        <w:rPr>
          <w:rFonts w:eastAsia="Times New Roman"/>
          <w:sz w:val="22"/>
          <w:szCs w:val="22"/>
        </w:rPr>
        <w:t xml:space="preserve"> и соответствующей доли общего имущества Здании.</w:t>
      </w:r>
    </w:p>
    <w:p w14:paraId="3053FBC8" w14:textId="77777777" w:rsidR="00575D8C" w:rsidRPr="00582138" w:rsidRDefault="00575D8C" w:rsidP="00575D8C">
      <w:pPr>
        <w:tabs>
          <w:tab w:val="num" w:pos="1440"/>
        </w:tabs>
        <w:ind w:firstLine="720"/>
        <w:jc w:val="both"/>
        <w:rPr>
          <w:bCs/>
          <w:sz w:val="22"/>
          <w:szCs w:val="22"/>
        </w:rPr>
      </w:pPr>
      <w:r w:rsidRPr="00582138">
        <w:rPr>
          <w:bCs/>
          <w:sz w:val="22"/>
          <w:szCs w:val="22"/>
        </w:rPr>
        <w:t>3.2.8. 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A1425C" w:rsidRDefault="00E868B2" w:rsidP="00A1425C">
      <w:pPr>
        <w:ind w:firstLine="709"/>
        <w:jc w:val="both"/>
        <w:rPr>
          <w:sz w:val="22"/>
          <w:szCs w:val="22"/>
        </w:rPr>
      </w:pPr>
      <w:r w:rsidRPr="00A1425C">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18512567" w14:textId="77777777" w:rsidR="00575D8C" w:rsidRPr="00582138" w:rsidRDefault="00575D8C" w:rsidP="00575D8C">
      <w:pPr>
        <w:tabs>
          <w:tab w:val="num" w:pos="1440"/>
        </w:tabs>
        <w:ind w:firstLine="720"/>
        <w:jc w:val="both"/>
        <w:rPr>
          <w:bCs/>
          <w:sz w:val="22"/>
          <w:szCs w:val="22"/>
        </w:rPr>
      </w:pPr>
      <w:r w:rsidRPr="00582138">
        <w:rPr>
          <w:bCs/>
          <w:sz w:val="22"/>
          <w:szCs w:val="22"/>
        </w:rPr>
        <w:t>3.2.9. Настоящим Участник выражает свое согласие на межевание/раздел</w:t>
      </w:r>
      <w:r w:rsidRPr="00582138">
        <w:rPr>
          <w:sz w:val="22"/>
          <w:szCs w:val="22"/>
        </w:rPr>
        <w:t>/объединение/ перераспределение/выдел</w:t>
      </w:r>
      <w:r w:rsidRPr="00582138">
        <w:rPr>
          <w:bCs/>
          <w:sz w:val="22"/>
          <w:szCs w:val="22"/>
        </w:rPr>
        <w:t xml:space="preserve"> земельного участка, указанного в п. 1.1.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7C14916B" w14:textId="77777777" w:rsidR="00575D8C" w:rsidRPr="00582138" w:rsidRDefault="00575D8C" w:rsidP="00575D8C">
      <w:pPr>
        <w:tabs>
          <w:tab w:val="num" w:pos="1440"/>
        </w:tabs>
        <w:ind w:firstLine="720"/>
        <w:jc w:val="both"/>
        <w:rPr>
          <w:bCs/>
          <w:sz w:val="22"/>
          <w:szCs w:val="22"/>
        </w:rPr>
      </w:pPr>
      <w:r w:rsidRPr="00582138">
        <w:rPr>
          <w:sz w:val="22"/>
          <w:szCs w:val="22"/>
        </w:rPr>
        <w:t>При необходимости в целях предусмотренных пунктом настоящего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681D03" w:rsidRDefault="00F22687" w:rsidP="00681D03">
      <w:pPr>
        <w:ind w:firstLine="720"/>
        <w:jc w:val="center"/>
        <w:rPr>
          <w:b/>
          <w:bCs/>
          <w:sz w:val="22"/>
          <w:szCs w:val="22"/>
        </w:rPr>
      </w:pPr>
      <w:r w:rsidRPr="00681D03">
        <w:rPr>
          <w:b/>
          <w:bCs/>
          <w:sz w:val="22"/>
          <w:szCs w:val="22"/>
        </w:rPr>
        <w:t>4. Цена Договора, сроки и порядок ее уплаты</w:t>
      </w:r>
    </w:p>
    <w:p w14:paraId="56FF11C0" w14:textId="77777777" w:rsidR="00575D8C" w:rsidRPr="00681D03" w:rsidRDefault="00575D8C" w:rsidP="00681D03">
      <w:pPr>
        <w:ind w:firstLine="709"/>
        <w:jc w:val="both"/>
        <w:rPr>
          <w:sz w:val="22"/>
          <w:szCs w:val="22"/>
          <w:lang w:eastAsia="en-US"/>
        </w:rPr>
      </w:pPr>
      <w:r w:rsidRPr="00681D03">
        <w:rPr>
          <w:sz w:val="22"/>
          <w:szCs w:val="22"/>
          <w:lang w:eastAsia="en-US"/>
        </w:rPr>
        <w:t xml:space="preserve">4.1. </w:t>
      </w:r>
      <w:r w:rsidRPr="00681D03">
        <w:rPr>
          <w:b/>
          <w:sz w:val="22"/>
          <w:szCs w:val="22"/>
        </w:rPr>
        <w:t>Цена Договора</w:t>
      </w:r>
      <w:r w:rsidRPr="00681D03">
        <w:rPr>
          <w:sz w:val="22"/>
          <w:szCs w:val="22"/>
        </w:rPr>
        <w:t xml:space="preserve"> - размер денежных средств, подлежащих уплате Участником долевого строительства для строительства (создания) Помещения в порядке и сроки, предусмотренные настоящим разделом Договора. Цена Договора НДС не облагается.</w:t>
      </w:r>
    </w:p>
    <w:p w14:paraId="1258E52B" w14:textId="77777777" w:rsidR="00575D8C" w:rsidRPr="00681D03" w:rsidRDefault="00575D8C" w:rsidP="00681D03">
      <w:pPr>
        <w:tabs>
          <w:tab w:val="num" w:pos="709"/>
        </w:tabs>
        <w:ind w:left="709"/>
        <w:jc w:val="both"/>
        <w:rPr>
          <w:sz w:val="22"/>
          <w:szCs w:val="22"/>
        </w:rPr>
      </w:pPr>
      <w:r w:rsidRPr="00681D03">
        <w:rPr>
          <w:sz w:val="22"/>
          <w:szCs w:val="22"/>
        </w:rPr>
        <w:t>4.2. Цена Договора определяется по следующей формуле:</w:t>
      </w:r>
    </w:p>
    <w:p w14:paraId="775C641B" w14:textId="77777777" w:rsidR="00575D8C" w:rsidRPr="00681D03" w:rsidRDefault="00575D8C" w:rsidP="00681D03">
      <w:pPr>
        <w:tabs>
          <w:tab w:val="num" w:pos="709"/>
        </w:tabs>
        <w:ind w:left="709"/>
        <w:rPr>
          <w:sz w:val="22"/>
          <w:szCs w:val="22"/>
        </w:rPr>
      </w:pPr>
      <w:r w:rsidRPr="00681D03">
        <w:rPr>
          <w:b/>
          <w:sz w:val="22"/>
          <w:szCs w:val="22"/>
        </w:rPr>
        <w:t xml:space="preserve">Рд = P1(пр) x S(пр), </w:t>
      </w:r>
      <w:r w:rsidRPr="00681D03">
        <w:rPr>
          <w:sz w:val="22"/>
          <w:szCs w:val="22"/>
        </w:rPr>
        <w:t>где</w:t>
      </w:r>
    </w:p>
    <w:p w14:paraId="2E795692" w14:textId="77777777" w:rsidR="00575D8C" w:rsidRPr="00681D03" w:rsidRDefault="00575D8C" w:rsidP="00681D03">
      <w:pPr>
        <w:tabs>
          <w:tab w:val="num" w:pos="709"/>
        </w:tabs>
        <w:ind w:left="709"/>
        <w:jc w:val="both"/>
        <w:rPr>
          <w:sz w:val="22"/>
          <w:szCs w:val="22"/>
        </w:rPr>
      </w:pPr>
      <w:r w:rsidRPr="00681D03">
        <w:rPr>
          <w:b/>
          <w:sz w:val="22"/>
          <w:szCs w:val="22"/>
        </w:rPr>
        <w:t>Pд</w:t>
      </w:r>
      <w:r w:rsidRPr="00681D03">
        <w:rPr>
          <w:sz w:val="22"/>
          <w:szCs w:val="22"/>
        </w:rPr>
        <w:t xml:space="preserve"> - Цена Договора;</w:t>
      </w:r>
    </w:p>
    <w:p w14:paraId="7FFAF521" w14:textId="6A6A915E" w:rsidR="00575D8C" w:rsidRPr="00681D03" w:rsidRDefault="00575D8C" w:rsidP="00681D03">
      <w:pPr>
        <w:tabs>
          <w:tab w:val="num" w:pos="709"/>
        </w:tabs>
        <w:ind w:left="709"/>
        <w:jc w:val="both"/>
        <w:rPr>
          <w:sz w:val="22"/>
          <w:szCs w:val="22"/>
        </w:rPr>
      </w:pPr>
      <w:r w:rsidRPr="00681D03">
        <w:rPr>
          <w:b/>
          <w:sz w:val="22"/>
          <w:szCs w:val="22"/>
        </w:rPr>
        <w:t>P1(пр)</w:t>
      </w:r>
      <w:r w:rsidRPr="00681D03">
        <w:rPr>
          <w:sz w:val="22"/>
          <w:szCs w:val="22"/>
        </w:rPr>
        <w:t xml:space="preserve"> – цена единицы </w:t>
      </w:r>
      <w:r w:rsidR="00A1425C">
        <w:rPr>
          <w:sz w:val="22"/>
          <w:szCs w:val="22"/>
        </w:rPr>
        <w:t>Проектной</w:t>
      </w:r>
      <w:r w:rsidRPr="00681D03">
        <w:rPr>
          <w:sz w:val="22"/>
          <w:szCs w:val="22"/>
        </w:rPr>
        <w:t xml:space="preserve"> площади Помещения (далее – «Цена единицы </w:t>
      </w:r>
      <w:r w:rsidR="00A1425C">
        <w:rPr>
          <w:sz w:val="22"/>
          <w:szCs w:val="22"/>
        </w:rPr>
        <w:t>Проектной</w:t>
      </w:r>
      <w:r w:rsidRPr="00681D03">
        <w:rPr>
          <w:sz w:val="22"/>
          <w:szCs w:val="22"/>
        </w:rPr>
        <w:t xml:space="preserve"> площади Помещения»), которая составляет </w:t>
      </w:r>
      <w:r w:rsidRPr="00681D03">
        <w:rPr>
          <w:b/>
          <w:sz w:val="22"/>
          <w:szCs w:val="22"/>
        </w:rPr>
        <w:t>_______ (__________________) рублей __ копеек</w:t>
      </w:r>
      <w:r w:rsidRPr="00681D03">
        <w:rPr>
          <w:sz w:val="22"/>
          <w:szCs w:val="22"/>
        </w:rPr>
        <w:t xml:space="preserve"> и не подлежит изменению Сторонами в одностороннем порядке;</w:t>
      </w:r>
    </w:p>
    <w:p w14:paraId="599AE7E0" w14:textId="2D25EC24" w:rsidR="00575D8C" w:rsidRPr="00681D03" w:rsidRDefault="00575D8C" w:rsidP="00681D03">
      <w:pPr>
        <w:tabs>
          <w:tab w:val="num" w:pos="709"/>
        </w:tabs>
        <w:ind w:left="709"/>
        <w:jc w:val="both"/>
        <w:rPr>
          <w:sz w:val="22"/>
          <w:szCs w:val="22"/>
        </w:rPr>
      </w:pPr>
      <w:r w:rsidRPr="00681D03">
        <w:rPr>
          <w:b/>
          <w:sz w:val="22"/>
          <w:szCs w:val="22"/>
        </w:rPr>
        <w:t>S(пр)</w:t>
      </w:r>
      <w:r w:rsidRPr="00681D03">
        <w:rPr>
          <w:sz w:val="22"/>
          <w:szCs w:val="22"/>
        </w:rPr>
        <w:t xml:space="preserve"> – </w:t>
      </w:r>
      <w:r w:rsidR="00A1425C">
        <w:rPr>
          <w:sz w:val="22"/>
          <w:szCs w:val="22"/>
        </w:rPr>
        <w:t>Проектная</w:t>
      </w:r>
      <w:r w:rsidRPr="00681D03">
        <w:rPr>
          <w:sz w:val="22"/>
          <w:szCs w:val="22"/>
        </w:rPr>
        <w:t xml:space="preserve"> площадь Помещения (кв.м). </w:t>
      </w:r>
    </w:p>
    <w:p w14:paraId="26BE6401" w14:textId="77777777" w:rsidR="00575D8C" w:rsidRPr="00681D03" w:rsidRDefault="00575D8C" w:rsidP="00681D03">
      <w:pPr>
        <w:tabs>
          <w:tab w:val="left" w:pos="1276"/>
        </w:tabs>
        <w:ind w:firstLine="709"/>
        <w:jc w:val="both"/>
        <w:rPr>
          <w:sz w:val="22"/>
          <w:szCs w:val="22"/>
        </w:rPr>
      </w:pPr>
      <w:r w:rsidRPr="00681D03">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710F35DB" w14:textId="244178FF" w:rsidR="00575D8C" w:rsidRPr="00681D03" w:rsidRDefault="00575D8C" w:rsidP="00681D03">
      <w:pPr>
        <w:ind w:firstLine="709"/>
        <w:jc w:val="both"/>
        <w:rPr>
          <w:sz w:val="22"/>
          <w:szCs w:val="22"/>
        </w:rPr>
      </w:pPr>
      <w:r w:rsidRPr="00681D03">
        <w:rPr>
          <w:sz w:val="22"/>
          <w:szCs w:val="22"/>
        </w:rPr>
        <w:t xml:space="preserve">4.3. Цена Договора на момент его заключения составляет </w:t>
      </w:r>
      <w:r w:rsidRPr="00681D03">
        <w:rPr>
          <w:b/>
          <w:sz w:val="22"/>
          <w:szCs w:val="22"/>
        </w:rPr>
        <w:t>_____________ (__________________) рублей __ копеек</w:t>
      </w:r>
      <w:r w:rsidRPr="00681D03">
        <w:rPr>
          <w:sz w:val="22"/>
          <w:szCs w:val="22"/>
        </w:rPr>
        <w:t xml:space="preserve">, исходя из Цены единицы </w:t>
      </w:r>
      <w:r w:rsidR="00A1425C">
        <w:rPr>
          <w:sz w:val="22"/>
          <w:szCs w:val="22"/>
        </w:rPr>
        <w:t>Проектной</w:t>
      </w:r>
      <w:r w:rsidRPr="00681D03">
        <w:rPr>
          <w:sz w:val="22"/>
          <w:szCs w:val="22"/>
        </w:rPr>
        <w:t xml:space="preserve"> площади Помеще</w:t>
      </w:r>
      <w:r w:rsidR="00A1425C">
        <w:rPr>
          <w:sz w:val="22"/>
          <w:szCs w:val="22"/>
        </w:rPr>
        <w:t>ния и Проектной площади Помещения</w:t>
      </w:r>
      <w:r w:rsidRPr="00681D03">
        <w:rPr>
          <w:sz w:val="22"/>
          <w:szCs w:val="22"/>
        </w:rPr>
        <w:t>. НДС не облагается.</w:t>
      </w:r>
    </w:p>
    <w:p w14:paraId="6F91F4F0" w14:textId="77777777" w:rsidR="00575D8C" w:rsidRPr="00681D03" w:rsidRDefault="00575D8C" w:rsidP="00681D03">
      <w:pPr>
        <w:ind w:firstLine="709"/>
        <w:jc w:val="both"/>
        <w:rPr>
          <w:sz w:val="22"/>
          <w:szCs w:val="22"/>
        </w:rPr>
      </w:pPr>
      <w:r w:rsidRPr="00681D03">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64F479C4" w14:textId="77777777" w:rsidR="00B5058B" w:rsidRPr="00681D03" w:rsidRDefault="00B5058B" w:rsidP="00681D03">
      <w:pPr>
        <w:ind w:firstLine="709"/>
        <w:jc w:val="both"/>
        <w:rPr>
          <w:sz w:val="22"/>
          <w:szCs w:val="22"/>
        </w:rPr>
      </w:pPr>
      <w:r w:rsidRPr="00681D03">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681D03">
          <w:rPr>
            <w:rStyle w:val="a9"/>
            <w:sz w:val="22"/>
            <w:szCs w:val="22"/>
          </w:rPr>
          <w:t>bank@abr.ru</w:t>
        </w:r>
      </w:hyperlink>
      <w:r w:rsidRPr="00681D03">
        <w:rPr>
          <w:rFonts w:eastAsia="Times New Roman"/>
          <w:sz w:val="22"/>
          <w:szCs w:val="22"/>
        </w:rPr>
        <w:t>, номер телефона: +7 (3652) 549-601.</w:t>
      </w:r>
    </w:p>
    <w:p w14:paraId="4494CB75" w14:textId="77777777" w:rsidR="00750698" w:rsidRPr="00681D03" w:rsidRDefault="00F22687" w:rsidP="00681D03">
      <w:pPr>
        <w:ind w:firstLine="709"/>
        <w:jc w:val="both"/>
        <w:rPr>
          <w:rFonts w:eastAsia="Times New Roman"/>
          <w:sz w:val="22"/>
          <w:szCs w:val="22"/>
        </w:rPr>
      </w:pPr>
      <w:r w:rsidRPr="00681D03">
        <w:rPr>
          <w:rFonts w:eastAsia="Times New Roman"/>
          <w:sz w:val="22"/>
          <w:szCs w:val="22"/>
        </w:rPr>
        <w:t>4.4.2. Участник/Депонент: _____________________________ (ФИО/наименование депонента).</w:t>
      </w:r>
    </w:p>
    <w:p w14:paraId="1B4E2372" w14:textId="4DE932B2" w:rsidR="00750698" w:rsidRPr="00681D03" w:rsidRDefault="00750698" w:rsidP="00681D03">
      <w:pPr>
        <w:ind w:firstLine="709"/>
        <w:jc w:val="both"/>
        <w:rPr>
          <w:rFonts w:eastAsia="Times New Roman"/>
          <w:sz w:val="22"/>
          <w:szCs w:val="22"/>
        </w:rPr>
      </w:pPr>
      <w:r w:rsidRPr="00681D03">
        <w:rPr>
          <w:rFonts w:eastAsia="Times New Roman"/>
          <w:sz w:val="22"/>
          <w:szCs w:val="22"/>
        </w:rPr>
        <w:t>4.4.3</w:t>
      </w:r>
      <w:r w:rsidR="00134E94" w:rsidRPr="00681D03">
        <w:rPr>
          <w:rFonts w:eastAsia="Times New Roman"/>
          <w:sz w:val="22"/>
          <w:szCs w:val="22"/>
        </w:rPr>
        <w:t>.</w:t>
      </w:r>
      <w:r w:rsidR="00CE2B7B" w:rsidRPr="00681D03">
        <w:rPr>
          <w:rFonts w:eastAsia="Times New Roman"/>
          <w:sz w:val="22"/>
          <w:szCs w:val="22"/>
        </w:rPr>
        <w:t xml:space="preserve"> Застройщик/</w:t>
      </w:r>
      <w:r w:rsidRPr="00681D03">
        <w:rPr>
          <w:rFonts w:eastAsia="Times New Roman"/>
          <w:sz w:val="22"/>
          <w:szCs w:val="22"/>
        </w:rPr>
        <w:t xml:space="preserve">Бенефициар: </w:t>
      </w:r>
      <w:r w:rsidR="00CE2B7B" w:rsidRPr="00681D03">
        <w:rPr>
          <w:rFonts w:eastAsia="Times New Roman"/>
          <w:sz w:val="22"/>
          <w:szCs w:val="22"/>
        </w:rPr>
        <w:t xml:space="preserve">Общество с ограниченной ответственностью </w:t>
      </w:r>
      <w:r w:rsidR="006E4B3F" w:rsidRPr="00681D03">
        <w:rPr>
          <w:sz w:val="22"/>
          <w:szCs w:val="22"/>
        </w:rPr>
        <w:t>«СПЕЦИАЛИЗИРОВАННЫЙ ЗАСТРОЙЩИК ЖИЛОГО КОМПЛЕКСА «</w:t>
      </w:r>
      <w:r w:rsidR="00573CF4" w:rsidRPr="00681D03">
        <w:rPr>
          <w:sz w:val="22"/>
          <w:szCs w:val="22"/>
        </w:rPr>
        <w:t>НОВЫЙ</w:t>
      </w:r>
      <w:r w:rsidR="006E4B3F" w:rsidRPr="00681D03">
        <w:rPr>
          <w:sz w:val="22"/>
          <w:szCs w:val="22"/>
        </w:rPr>
        <w:t>»</w:t>
      </w:r>
      <w:r w:rsidR="00CE2B7B" w:rsidRPr="00681D03">
        <w:rPr>
          <w:rFonts w:eastAsia="Times New Roman"/>
          <w:sz w:val="22"/>
          <w:szCs w:val="22"/>
        </w:rPr>
        <w:t xml:space="preserve">  (</w:t>
      </w:r>
      <w:r w:rsidRPr="00681D03">
        <w:rPr>
          <w:rFonts w:eastAsia="Times New Roman"/>
          <w:sz w:val="22"/>
          <w:szCs w:val="22"/>
        </w:rPr>
        <w:t>реквизиты счета для зачисления Депонируемой суммы</w:t>
      </w:r>
      <w:r w:rsidR="00105C23" w:rsidRPr="00681D03">
        <w:rPr>
          <w:rFonts w:eastAsia="Times New Roman"/>
          <w:sz w:val="22"/>
          <w:szCs w:val="22"/>
        </w:rPr>
        <w:t xml:space="preserve">: </w:t>
      </w:r>
      <w:r w:rsidR="00105C23" w:rsidRPr="00681D03">
        <w:rPr>
          <w:sz w:val="22"/>
          <w:szCs w:val="22"/>
        </w:rPr>
        <w:t xml:space="preserve">р/с </w:t>
      </w:r>
      <w:r w:rsidR="00AD28E7">
        <w:rPr>
          <w:sz w:val="22"/>
          <w:szCs w:val="22"/>
        </w:rPr>
        <w:t>_________________________</w:t>
      </w:r>
      <w:r w:rsidR="00105C23" w:rsidRPr="00681D03">
        <w:rPr>
          <w:sz w:val="22"/>
          <w:szCs w:val="22"/>
        </w:rPr>
        <w:t xml:space="preserve">, открытый в </w:t>
      </w:r>
      <w:r w:rsidR="00B445A9" w:rsidRPr="00681D03">
        <w:rPr>
          <w:sz w:val="22"/>
          <w:szCs w:val="22"/>
          <w:shd w:val="clear" w:color="auto" w:fill="FFFFFF"/>
        </w:rPr>
        <w:t>Симферопольский филиал АБ «РОССИЯ»</w:t>
      </w:r>
      <w:r w:rsidR="00105C23" w:rsidRPr="00681D03">
        <w:rPr>
          <w:bCs/>
          <w:spacing w:val="-1"/>
          <w:sz w:val="22"/>
          <w:szCs w:val="22"/>
        </w:rPr>
        <w:t>,</w:t>
      </w:r>
      <w:r w:rsidR="00105C23" w:rsidRPr="00681D03">
        <w:rPr>
          <w:sz w:val="22"/>
          <w:szCs w:val="22"/>
        </w:rPr>
        <w:t xml:space="preserve"> </w:t>
      </w:r>
      <w:r w:rsidR="00105C23" w:rsidRPr="00681D03">
        <w:rPr>
          <w:bCs/>
          <w:spacing w:val="-1"/>
          <w:sz w:val="22"/>
          <w:szCs w:val="22"/>
        </w:rPr>
        <w:t xml:space="preserve">кор/счет </w:t>
      </w:r>
      <w:r w:rsidR="00D83318" w:rsidRPr="00681D03">
        <w:rPr>
          <w:sz w:val="22"/>
          <w:szCs w:val="22"/>
        </w:rPr>
        <w:t>30101810835100000107</w:t>
      </w:r>
      <w:r w:rsidR="00105C23" w:rsidRPr="00681D03">
        <w:rPr>
          <w:sz w:val="22"/>
          <w:szCs w:val="22"/>
          <w:shd w:val="clear" w:color="auto" w:fill="FFFFFF"/>
        </w:rPr>
        <w:t>, БИК </w:t>
      </w:r>
      <w:r w:rsidR="00D83318" w:rsidRPr="00681D03">
        <w:rPr>
          <w:sz w:val="22"/>
          <w:szCs w:val="22"/>
        </w:rPr>
        <w:t>043510107</w:t>
      </w:r>
      <w:r w:rsidR="00D34A4A" w:rsidRPr="00681D03">
        <w:rPr>
          <w:rFonts w:eastAsia="Times New Roman"/>
          <w:sz w:val="22"/>
          <w:szCs w:val="22"/>
        </w:rPr>
        <w:t>.</w:t>
      </w:r>
    </w:p>
    <w:p w14:paraId="1FB29206" w14:textId="77777777" w:rsidR="00D83318" w:rsidRPr="00681D03" w:rsidRDefault="00D83318" w:rsidP="00681D03">
      <w:pPr>
        <w:ind w:firstLine="709"/>
        <w:jc w:val="both"/>
        <w:rPr>
          <w:rFonts w:eastAsia="Times New Roman"/>
          <w:sz w:val="22"/>
          <w:szCs w:val="22"/>
        </w:rPr>
      </w:pPr>
      <w:r w:rsidRPr="00681D03">
        <w:rPr>
          <w:rFonts w:eastAsia="Times New Roman"/>
          <w:sz w:val="22"/>
          <w:szCs w:val="22"/>
        </w:rPr>
        <w:t xml:space="preserve">4.4.4. Депонируемая сумма: </w:t>
      </w:r>
      <w:r w:rsidRPr="00681D03">
        <w:rPr>
          <w:sz w:val="22"/>
          <w:szCs w:val="22"/>
        </w:rPr>
        <w:t>__________ (_______________________________)</w:t>
      </w:r>
      <w:r w:rsidRPr="00681D03">
        <w:rPr>
          <w:rFonts w:eastAsia="Times New Roman"/>
          <w:sz w:val="22"/>
          <w:szCs w:val="22"/>
        </w:rPr>
        <w:t xml:space="preserve"> рублей __ копеек.</w:t>
      </w:r>
    </w:p>
    <w:p w14:paraId="6504FDB7" w14:textId="17670A4D" w:rsidR="00B5058B" w:rsidRPr="00681D03" w:rsidRDefault="00B5058B" w:rsidP="00681D03">
      <w:pPr>
        <w:ind w:firstLine="709"/>
        <w:jc w:val="both"/>
        <w:rPr>
          <w:rFonts w:eastAsia="Times New Roman"/>
          <w:sz w:val="22"/>
          <w:szCs w:val="22"/>
        </w:rPr>
      </w:pPr>
      <w:r w:rsidRPr="00681D03">
        <w:rPr>
          <w:rFonts w:eastAsia="Times New Roman"/>
          <w:sz w:val="22"/>
          <w:szCs w:val="22"/>
        </w:rPr>
        <w:t xml:space="preserve">4.4.5. Срок условного депонирования денежных средств: </w:t>
      </w:r>
      <w:r w:rsidR="00AD28E7">
        <w:rPr>
          <w:rFonts w:eastAsia="Times New Roman"/>
          <w:sz w:val="22"/>
          <w:szCs w:val="22"/>
        </w:rPr>
        <w:t>до 01.09</w:t>
      </w:r>
      <w:r w:rsidR="00681D03" w:rsidRPr="00681D03">
        <w:rPr>
          <w:rFonts w:eastAsia="Times New Roman"/>
          <w:sz w:val="22"/>
          <w:szCs w:val="22"/>
        </w:rPr>
        <w:t>.2024</w:t>
      </w:r>
      <w:r w:rsidRPr="00681D03">
        <w:rPr>
          <w:rFonts w:eastAsia="Times New Roman"/>
          <w:sz w:val="22"/>
          <w:szCs w:val="22"/>
        </w:rPr>
        <w:t xml:space="preserve"> года.</w:t>
      </w:r>
    </w:p>
    <w:p w14:paraId="1F12646F" w14:textId="1866CF8D" w:rsidR="00750698" w:rsidRPr="00681D03" w:rsidRDefault="00750698" w:rsidP="00AD28E7">
      <w:pPr>
        <w:ind w:firstLine="709"/>
        <w:jc w:val="both"/>
        <w:rPr>
          <w:sz w:val="22"/>
          <w:szCs w:val="22"/>
        </w:rPr>
      </w:pPr>
      <w:r w:rsidRPr="00681D03">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681D03">
        <w:rPr>
          <w:iCs/>
          <w:sz w:val="22"/>
          <w:szCs w:val="22"/>
        </w:rPr>
        <w:t>Здания</w:t>
      </w:r>
      <w:r w:rsidRPr="00681D03">
        <w:rPr>
          <w:sz w:val="22"/>
          <w:szCs w:val="22"/>
        </w:rPr>
        <w:t xml:space="preserve"> или сведений о </w:t>
      </w:r>
      <w:r w:rsidRPr="00681D03">
        <w:rPr>
          <w:sz w:val="22"/>
          <w:szCs w:val="22"/>
        </w:rPr>
        <w:lastRenderedPageBreak/>
        <w:t>размещении в единой информационной системе жилищного строительства вышеуказанной информации, перечисляется Эс</w:t>
      </w:r>
      <w:r w:rsidR="00EC3FAD" w:rsidRPr="00681D03">
        <w:rPr>
          <w:sz w:val="22"/>
          <w:szCs w:val="22"/>
        </w:rPr>
        <w:t>кроу-агентом Застройщику на р/с</w:t>
      </w:r>
      <w:r w:rsidRPr="00681D03">
        <w:rPr>
          <w:sz w:val="22"/>
          <w:szCs w:val="22"/>
        </w:rPr>
        <w:t xml:space="preserve"> </w:t>
      </w:r>
      <w:r w:rsidR="00AD28E7">
        <w:rPr>
          <w:sz w:val="22"/>
          <w:szCs w:val="22"/>
        </w:rPr>
        <w:t>_______________________</w:t>
      </w:r>
      <w:r w:rsidRPr="00681D03">
        <w:rPr>
          <w:sz w:val="22"/>
          <w:szCs w:val="22"/>
        </w:rPr>
        <w:t xml:space="preserve"> открытый в </w:t>
      </w:r>
      <w:r w:rsidR="00C4244A" w:rsidRPr="00681D03">
        <w:rPr>
          <w:sz w:val="22"/>
          <w:szCs w:val="22"/>
          <w:shd w:val="clear" w:color="auto" w:fill="FFFFFF"/>
        </w:rPr>
        <w:t>Симферопольский филиал АБ «РОССИЯ</w:t>
      </w:r>
      <w:r w:rsidR="00714456">
        <w:rPr>
          <w:sz w:val="22"/>
          <w:szCs w:val="22"/>
          <w:shd w:val="clear" w:color="auto" w:fill="FFFFFF"/>
        </w:rPr>
        <w:t>»</w:t>
      </w:r>
      <w:r w:rsidRPr="00681D03">
        <w:rPr>
          <w:bCs/>
          <w:spacing w:val="-1"/>
          <w:sz w:val="22"/>
          <w:szCs w:val="22"/>
        </w:rPr>
        <w:t>,</w:t>
      </w:r>
      <w:r w:rsidRPr="00681D03">
        <w:rPr>
          <w:sz w:val="22"/>
          <w:szCs w:val="22"/>
        </w:rPr>
        <w:t xml:space="preserve"> </w:t>
      </w:r>
      <w:r w:rsidRPr="00681D03">
        <w:rPr>
          <w:bCs/>
          <w:spacing w:val="-1"/>
          <w:sz w:val="22"/>
          <w:szCs w:val="22"/>
        </w:rPr>
        <w:t xml:space="preserve">кор/счет </w:t>
      </w:r>
      <w:r w:rsidR="00C4244A" w:rsidRPr="00681D03">
        <w:rPr>
          <w:sz w:val="22"/>
          <w:szCs w:val="22"/>
        </w:rPr>
        <w:t>30101810835100000107</w:t>
      </w:r>
      <w:r w:rsidRPr="00681D03">
        <w:rPr>
          <w:sz w:val="22"/>
          <w:szCs w:val="22"/>
          <w:shd w:val="clear" w:color="auto" w:fill="FFFFFF"/>
        </w:rPr>
        <w:t>, БИК </w:t>
      </w:r>
      <w:r w:rsidR="002740F0" w:rsidRPr="00681D03">
        <w:rPr>
          <w:sz w:val="22"/>
          <w:szCs w:val="22"/>
        </w:rPr>
        <w:t>043510107</w:t>
      </w:r>
      <w:r w:rsidRPr="00681D03">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A3AC20"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650F0B22"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первый платеж в размере ___________ (__________________________) рублей __</w:t>
      </w:r>
      <w:r w:rsidR="00C0454E" w:rsidRPr="00681D03">
        <w:rPr>
          <w:rFonts w:eastAsia="Times New Roman"/>
          <w:sz w:val="22"/>
          <w:szCs w:val="22"/>
        </w:rPr>
        <w:t xml:space="preserve"> копеек</w:t>
      </w:r>
      <w:r w:rsidRPr="00681D03">
        <w:rPr>
          <w:rFonts w:eastAsia="Times New Roman"/>
          <w:sz w:val="22"/>
          <w:szCs w:val="22"/>
        </w:rPr>
        <w:t xml:space="preserve"> – Участник выплачивает за счет собственных средств в течение 10 (Десяти) рабочих дней с даты регистрации настоящего Договора;</w:t>
      </w:r>
    </w:p>
    <w:p w14:paraId="0D2B0A72"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денежные средства в размере _________ (_______________________________________) рублей __ копеек перечисляются Участником за счёт собственных средств не позднее __ ___________ 20__ г.,</w:t>
      </w:r>
    </w:p>
    <w:p w14:paraId="473C6AE4"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денежные средства в размере _________ (_______________________________________) рублей __ копеек перечисляются Участником за счёт собственных средств не позднее __ ___________ 20__ г.</w:t>
      </w:r>
    </w:p>
    <w:p w14:paraId="73DD7E7F"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При этом, Участник обязан внести цену Договора в полном объеме на счет эскроу н</w:t>
      </w:r>
      <w:r w:rsidRPr="00681D03">
        <w:rPr>
          <w:sz w:val="22"/>
          <w:szCs w:val="22"/>
        </w:rPr>
        <w:t xml:space="preserve">е позднее даты ввода в эксплуатацию многоквартирного жилого дома. </w:t>
      </w:r>
    </w:p>
    <w:p w14:paraId="581FCCED" w14:textId="5F23DAB7" w:rsidR="00575D8C" w:rsidRPr="00681D03" w:rsidRDefault="00575D8C" w:rsidP="00681D03">
      <w:pPr>
        <w:ind w:firstLine="709"/>
        <w:jc w:val="both"/>
        <w:rPr>
          <w:sz w:val="22"/>
          <w:szCs w:val="22"/>
        </w:rPr>
      </w:pPr>
      <w:r w:rsidRPr="00681D03">
        <w:rPr>
          <w:sz w:val="22"/>
          <w:szCs w:val="22"/>
        </w:rPr>
        <w:t>4.6. В случае, если Фактическая площадь Помещения,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Помещения, Стороны производят вза</w:t>
      </w:r>
      <w:r w:rsidR="00AD28E7">
        <w:rPr>
          <w:sz w:val="22"/>
          <w:szCs w:val="22"/>
        </w:rPr>
        <w:t>иморасчеты в следующем порядке:</w:t>
      </w:r>
    </w:p>
    <w:p w14:paraId="67D00589" w14:textId="527F4D67" w:rsidR="00AD28E7" w:rsidRPr="00D83095" w:rsidRDefault="00AD28E7" w:rsidP="00AD28E7">
      <w:pPr>
        <w:ind w:firstLine="709"/>
        <w:jc w:val="both"/>
        <w:rPr>
          <w:rStyle w:val="layout"/>
          <w:sz w:val="22"/>
          <w:szCs w:val="22"/>
        </w:rPr>
      </w:pPr>
      <w:r w:rsidRPr="00681D03">
        <w:rPr>
          <w:sz w:val="22"/>
          <w:szCs w:val="22"/>
        </w:rPr>
        <w:t>4.6.1. В случае, если Фактическа</w:t>
      </w:r>
      <w:r>
        <w:rPr>
          <w:sz w:val="22"/>
          <w:szCs w:val="22"/>
        </w:rPr>
        <w:t>я</w:t>
      </w:r>
      <w:r w:rsidRPr="00681D03">
        <w:rPr>
          <w:sz w:val="22"/>
          <w:szCs w:val="22"/>
        </w:rPr>
        <w:t xml:space="preserve"> площадь Помещения окажется больше Проектной площади Помещения, Участник долевого строительства осуществляет доплату денежной суммы, составляющей разницу между Фактической площадью Помещения и Проектной площадью Помещения, умноженной на Цену единицы </w:t>
      </w:r>
      <w:r>
        <w:rPr>
          <w:sz w:val="22"/>
          <w:szCs w:val="22"/>
        </w:rPr>
        <w:t>Проектной</w:t>
      </w:r>
      <w:r w:rsidRPr="00681D03">
        <w:rPr>
          <w:sz w:val="22"/>
          <w:szCs w:val="22"/>
        </w:rPr>
        <w:t xml:space="preserve"> площади Помещения.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sidR="00CE6030">
        <w:rPr>
          <w:bCs/>
          <w:sz w:val="22"/>
          <w:szCs w:val="22"/>
        </w:rPr>
        <w:t>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32714917" w14:textId="77777777" w:rsidR="00AD28E7" w:rsidRPr="00681D03" w:rsidRDefault="00AD28E7" w:rsidP="00AD28E7">
      <w:pPr>
        <w:ind w:firstLine="709"/>
        <w:jc w:val="both"/>
        <w:rPr>
          <w:sz w:val="22"/>
          <w:szCs w:val="22"/>
        </w:rPr>
      </w:pPr>
      <w:r w:rsidRPr="00681D03">
        <w:rPr>
          <w:sz w:val="22"/>
          <w:szCs w:val="22"/>
        </w:rPr>
        <w:t xml:space="preserve">4.6.2. В случае, если Фактическая площадь Помещения окажется меньше Проектной площади Помещения, Застройщик обязуется осуществить возврат Участнику долевого строительства часть депонируемой суммы, составляющей разницу между Проектной площадью Помещения и Фактической площадью Помещения, умноженной на Цену единицы </w:t>
      </w:r>
      <w:r>
        <w:rPr>
          <w:sz w:val="22"/>
          <w:szCs w:val="22"/>
        </w:rPr>
        <w:t>Проектной площади Помещения</w:t>
      </w:r>
      <w:r w:rsidRPr="00681D03">
        <w:rPr>
          <w:sz w:val="22"/>
          <w:szCs w:val="22"/>
        </w:rPr>
        <w:t>.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73234703" w14:textId="77777777" w:rsidR="00575D8C" w:rsidRPr="00681D03" w:rsidRDefault="00575D8C" w:rsidP="00681D03">
      <w:pPr>
        <w:ind w:firstLine="720"/>
        <w:jc w:val="both"/>
        <w:rPr>
          <w:sz w:val="22"/>
          <w:szCs w:val="22"/>
        </w:rPr>
      </w:pPr>
      <w:r w:rsidRPr="00681D03">
        <w:rPr>
          <w:sz w:val="22"/>
          <w:szCs w:val="22"/>
        </w:rPr>
        <w:t>4.6.3. При передаче Помещения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2B682D96" w14:textId="77777777" w:rsidR="00575D8C" w:rsidRPr="00681D03" w:rsidRDefault="00575D8C" w:rsidP="00681D03">
      <w:pPr>
        <w:ind w:firstLine="709"/>
        <w:jc w:val="both"/>
        <w:rPr>
          <w:sz w:val="22"/>
          <w:szCs w:val="22"/>
          <w:lang w:eastAsia="en-US"/>
        </w:rPr>
      </w:pPr>
      <w:r w:rsidRPr="00681D03">
        <w:rPr>
          <w:sz w:val="22"/>
          <w:szCs w:val="22"/>
          <w:lang w:eastAsia="en-US"/>
        </w:rPr>
        <w:t xml:space="preserve">4.7. В Цену Договора не включены расходы Участника </w:t>
      </w:r>
      <w:r w:rsidRPr="00681D03">
        <w:rPr>
          <w:sz w:val="22"/>
          <w:szCs w:val="22"/>
        </w:rPr>
        <w:t>долевого строительства</w:t>
      </w:r>
      <w:r w:rsidRPr="00681D03">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Помещение, а также расходы на оплату услуг третьих лиц по регистрации Договора и права собственности Участника </w:t>
      </w:r>
      <w:r w:rsidRPr="00681D03">
        <w:rPr>
          <w:sz w:val="22"/>
          <w:szCs w:val="22"/>
        </w:rPr>
        <w:t xml:space="preserve">долевого строительства </w:t>
      </w:r>
      <w:r w:rsidRPr="00681D03">
        <w:rPr>
          <w:sz w:val="22"/>
          <w:szCs w:val="22"/>
          <w:lang w:eastAsia="en-US"/>
        </w:rPr>
        <w:t>на Помещение, в случае их привлечения Участником.</w:t>
      </w:r>
    </w:p>
    <w:p w14:paraId="56A991C2" w14:textId="753205FF" w:rsidR="00575D8C" w:rsidRDefault="00575D8C" w:rsidP="00681D03">
      <w:pPr>
        <w:ind w:firstLine="709"/>
        <w:jc w:val="both"/>
        <w:rPr>
          <w:sz w:val="22"/>
          <w:szCs w:val="22"/>
        </w:rPr>
      </w:pPr>
      <w:r w:rsidRPr="00681D03">
        <w:rPr>
          <w:sz w:val="22"/>
          <w:szCs w:val="22"/>
          <w:lang w:eastAsia="en-US"/>
        </w:rPr>
        <w:t xml:space="preserve">4.8. </w:t>
      </w:r>
      <w:r w:rsidRPr="00681D03">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1B1D0166" w14:textId="2108D818" w:rsidR="00CE6030" w:rsidRPr="00681D03" w:rsidRDefault="00CE6030" w:rsidP="00CE6030">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w:t>
      </w:r>
      <w:r w:rsidRPr="00F742FC">
        <w:rPr>
          <w:sz w:val="22"/>
          <w:szCs w:val="22"/>
        </w:rPr>
        <w:lastRenderedPageBreak/>
        <w:t xml:space="preserve">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77777777" w:rsidR="00F60697" w:rsidRPr="00582138" w:rsidRDefault="00F60697" w:rsidP="003A02B5">
      <w:pPr>
        <w:ind w:firstLine="709"/>
        <w:jc w:val="both"/>
        <w:rPr>
          <w:sz w:val="22"/>
          <w:szCs w:val="22"/>
          <w:lang w:eastAsia="en-US"/>
        </w:rPr>
      </w:pPr>
    </w:p>
    <w:p w14:paraId="62711201" w14:textId="77777777" w:rsidR="00575D8C" w:rsidRPr="00582138" w:rsidRDefault="00575D8C" w:rsidP="00575D8C">
      <w:pPr>
        <w:ind w:firstLine="720"/>
        <w:jc w:val="center"/>
        <w:rPr>
          <w:b/>
          <w:sz w:val="22"/>
          <w:szCs w:val="22"/>
        </w:rPr>
      </w:pPr>
      <w:r w:rsidRPr="00582138">
        <w:rPr>
          <w:b/>
          <w:sz w:val="22"/>
          <w:szCs w:val="22"/>
        </w:rPr>
        <w:t xml:space="preserve">5. Гарантии качества, гарантийный срок на </w:t>
      </w:r>
      <w:r>
        <w:rPr>
          <w:b/>
          <w:sz w:val="22"/>
          <w:szCs w:val="22"/>
        </w:rPr>
        <w:t>Помещение</w:t>
      </w:r>
    </w:p>
    <w:p w14:paraId="26CC9020"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Pr>
          <w:sz w:val="22"/>
          <w:szCs w:val="22"/>
        </w:rPr>
        <w:t>строительства Помещение</w:t>
      </w:r>
      <w:r w:rsidRPr="00582138">
        <w:rPr>
          <w:sz w:val="22"/>
          <w:szCs w:val="22"/>
        </w:rPr>
        <w:t>, качество которо</w:t>
      </w:r>
      <w:r>
        <w:rPr>
          <w:sz w:val="22"/>
          <w:szCs w:val="22"/>
        </w:rPr>
        <w:t>го</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Подтверждени</w:t>
      </w:r>
      <w:r>
        <w:rPr>
          <w:sz w:val="22"/>
          <w:szCs w:val="22"/>
        </w:rPr>
        <w:t>ем надлежащего качества Помещения</w:t>
      </w:r>
      <w:r w:rsidRPr="00582138">
        <w:rPr>
          <w:sz w:val="22"/>
          <w:szCs w:val="22"/>
        </w:rPr>
        <w:t xml:space="preserve"> является введение Здания в эксплуатацию и получение разрешения на ввод Здания в эксплуатацию.</w:t>
      </w:r>
    </w:p>
    <w:p w14:paraId="10C1D459"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5.2. Гарантийный срок на </w:t>
      </w:r>
      <w:r>
        <w:rPr>
          <w:sz w:val="22"/>
          <w:szCs w:val="22"/>
        </w:rPr>
        <w:t>Помещение</w:t>
      </w:r>
      <w:r w:rsidRPr="00582138">
        <w:rPr>
          <w:sz w:val="22"/>
          <w:szCs w:val="22"/>
        </w:rPr>
        <w:t xml:space="preserve"> исчисляется </w:t>
      </w:r>
      <w:r>
        <w:rPr>
          <w:sz w:val="22"/>
          <w:szCs w:val="22"/>
        </w:rPr>
        <w:t>со дня передачи Помещения</w:t>
      </w:r>
      <w:r w:rsidRPr="00582138">
        <w:rPr>
          <w:sz w:val="22"/>
          <w:szCs w:val="22"/>
        </w:rPr>
        <w:t xml:space="preserve"> и действует в течение 5 (Пяти) лет.</w:t>
      </w:r>
    </w:p>
    <w:p w14:paraId="76FC2110"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Pr>
          <w:sz w:val="22"/>
          <w:szCs w:val="22"/>
          <w:lang w:eastAsia="en-US"/>
        </w:rPr>
        <w:t>го</w:t>
      </w:r>
      <w:r w:rsidRPr="00582138">
        <w:rPr>
          <w:sz w:val="22"/>
          <w:szCs w:val="22"/>
          <w:lang w:eastAsia="en-US"/>
        </w:rPr>
        <w:t xml:space="preserve"> Участнику долевого строительства </w:t>
      </w:r>
      <w:r>
        <w:rPr>
          <w:sz w:val="22"/>
          <w:szCs w:val="22"/>
          <w:lang w:eastAsia="en-US"/>
        </w:rPr>
        <w:t>Помещения</w:t>
      </w:r>
      <w:r w:rsidRPr="00582138">
        <w:rPr>
          <w:sz w:val="22"/>
          <w:szCs w:val="22"/>
          <w:lang w:eastAsia="en-US"/>
        </w:rPr>
        <w:t>, составляет 3 (Три) года и исчисляется со дня подписания первого передаточного акта или иного документа о передаче объекта долевого строительства</w:t>
      </w:r>
      <w:r>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418D4EA2"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w:t>
      </w:r>
      <w:r>
        <w:rPr>
          <w:sz w:val="22"/>
          <w:szCs w:val="22"/>
          <w:lang w:eastAsia="en-US"/>
        </w:rPr>
        <w:t xml:space="preserve"> ненадлежащим качеством Помещения</w:t>
      </w:r>
      <w:r w:rsidRPr="00582138">
        <w:rPr>
          <w:sz w:val="22"/>
          <w:szCs w:val="22"/>
          <w:lang w:eastAsia="en-US"/>
        </w:rPr>
        <w:t xml:space="preserve"> или Здания при условии, если такое качество выявлено в течение гарантийного срока.</w:t>
      </w:r>
    </w:p>
    <w:p w14:paraId="650E8560" w14:textId="4C4B4370" w:rsidR="00575D8C" w:rsidRPr="00582138" w:rsidRDefault="00575D8C" w:rsidP="00575D8C">
      <w:pPr>
        <w:ind w:firstLine="720"/>
        <w:jc w:val="both"/>
        <w:rPr>
          <w:sz w:val="22"/>
          <w:szCs w:val="22"/>
        </w:rPr>
      </w:pPr>
      <w:r w:rsidRPr="00582138">
        <w:rPr>
          <w:sz w:val="22"/>
          <w:szCs w:val="22"/>
        </w:rPr>
        <w:t xml:space="preserve">5.4. В случае, если </w:t>
      </w:r>
      <w:r>
        <w:rPr>
          <w:sz w:val="22"/>
          <w:szCs w:val="22"/>
        </w:rPr>
        <w:t>Помещение</w:t>
      </w:r>
      <w:r w:rsidRPr="00582138">
        <w:rPr>
          <w:sz w:val="22"/>
          <w:szCs w:val="22"/>
        </w:rPr>
        <w:t xml:space="preserve"> построен</w:t>
      </w:r>
      <w:r>
        <w:rPr>
          <w:sz w:val="22"/>
          <w:szCs w:val="22"/>
        </w:rPr>
        <w:t>о</w:t>
      </w:r>
      <w:r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w:t>
      </w:r>
      <w:r w:rsidR="00E41031">
        <w:rPr>
          <w:sz w:val="22"/>
          <w:szCs w:val="22"/>
        </w:rPr>
        <w:t>ований, приведшим к ухудшению его</w:t>
      </w:r>
      <w:r w:rsidRPr="00582138">
        <w:rPr>
          <w:sz w:val="22"/>
          <w:szCs w:val="22"/>
        </w:rPr>
        <w:t xml:space="preserve"> качества, или с иными недостатками, которые делают </w:t>
      </w:r>
      <w:r>
        <w:rPr>
          <w:sz w:val="22"/>
          <w:szCs w:val="22"/>
        </w:rPr>
        <w:t>Помещение</w:t>
      </w:r>
      <w:r w:rsidRPr="00582138">
        <w:rPr>
          <w:sz w:val="22"/>
          <w:szCs w:val="22"/>
        </w:rPr>
        <w:t xml:space="preserve"> непригодн</w:t>
      </w:r>
      <w:r>
        <w:rPr>
          <w:sz w:val="22"/>
          <w:szCs w:val="22"/>
        </w:rPr>
        <w:t>ым</w:t>
      </w:r>
      <w:r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 по своему выбору безвозмездного устранения недостатков в разумный срок, соразмерного уменьшения Цены договора, возмещение своих расходов на устранение недостатков.</w:t>
      </w:r>
    </w:p>
    <w:p w14:paraId="791F9C9F"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5.5.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4CC87D6A"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42803CE0"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w:t>
      </w:r>
    </w:p>
    <w:p w14:paraId="4CAC3065"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A7772A" w14:textId="77777777" w:rsidR="00575D8C" w:rsidRPr="00582138" w:rsidRDefault="00575D8C" w:rsidP="00575D8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B934E30" w14:textId="77777777" w:rsidR="00575D8C" w:rsidRPr="00582138" w:rsidRDefault="00575D8C" w:rsidP="00575D8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D2B86AB"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59DA1214"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1DF47FCE"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lastRenderedPageBreak/>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47D7C2F3" w14:textId="77777777" w:rsidR="00575D8C" w:rsidRPr="00582138" w:rsidRDefault="00575D8C" w:rsidP="00575D8C">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B5EB833" w14:textId="77777777" w:rsidR="00575D8C" w:rsidRPr="00582138" w:rsidRDefault="00575D8C" w:rsidP="00575D8C">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w:t>
      </w:r>
      <w:r>
        <w:rPr>
          <w:sz w:val="22"/>
          <w:szCs w:val="22"/>
        </w:rPr>
        <w:t>бходимые для приведения Помещения</w:t>
      </w:r>
      <w:r w:rsidRPr="00582138">
        <w:rPr>
          <w:sz w:val="22"/>
          <w:szCs w:val="22"/>
        </w:rPr>
        <w:t xml:space="preserve"> и Здания в состояние, соответствующее проектной документации и Договору.</w:t>
      </w:r>
    </w:p>
    <w:p w14:paraId="3BCD40CA" w14:textId="77777777" w:rsidR="00575D8C" w:rsidRDefault="00575D8C" w:rsidP="00575D8C">
      <w:pPr>
        <w:ind w:firstLine="720"/>
        <w:jc w:val="both"/>
        <w:rPr>
          <w:sz w:val="22"/>
          <w:szCs w:val="22"/>
        </w:rPr>
      </w:pPr>
      <w:r w:rsidRPr="00582138">
        <w:rPr>
          <w:sz w:val="22"/>
          <w:szCs w:val="22"/>
        </w:rPr>
        <w:t>6.6. В случае расторжения Договора по инициативе Участника долевого строительства, за исключением оснований, указанных в ч. 3 ст. 7, ч. 1 и ч. 1.1. ст. 9 Федерального закона «Об участии в долевом строительстве»,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C3B4B11" w14:textId="77777777" w:rsidR="00575D8C" w:rsidRPr="00582138" w:rsidRDefault="00575D8C" w:rsidP="00575D8C">
      <w:pPr>
        <w:ind w:firstLine="720"/>
        <w:jc w:val="both"/>
        <w:rPr>
          <w:sz w:val="22"/>
          <w:szCs w:val="22"/>
        </w:rPr>
      </w:pPr>
      <w:r>
        <w:rPr>
          <w:sz w:val="22"/>
          <w:szCs w:val="22"/>
        </w:rPr>
        <w:t>6.7.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005DB125" w14:textId="77777777" w:rsidR="00575D8C" w:rsidRPr="00582138" w:rsidRDefault="00575D8C" w:rsidP="00575D8C">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256178F6" w14:textId="77777777" w:rsidR="00575D8C" w:rsidRPr="00582138" w:rsidRDefault="00575D8C" w:rsidP="00575D8C">
      <w:pPr>
        <w:ind w:firstLine="720"/>
        <w:jc w:val="both"/>
        <w:rPr>
          <w:sz w:val="22"/>
          <w:szCs w:val="22"/>
        </w:rPr>
      </w:pPr>
      <w:r w:rsidRPr="00582138">
        <w:rPr>
          <w:sz w:val="22"/>
          <w:szCs w:val="22"/>
        </w:rPr>
        <w:t>Сторона, которая имеет намерение ссылаться на форс-мажорные обстоятельства, обязана в тесятидневный срок сообщить другой Стороне о существовании форс-мажорных обстоятельств и их влияние на ход выполнения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указанный срок, такая Сторона теряет право ссылаться на них как форс-мажорные.</w:t>
      </w:r>
    </w:p>
    <w:p w14:paraId="276A48C4" w14:textId="77777777" w:rsidR="00575D8C" w:rsidRPr="00582138" w:rsidRDefault="00575D8C" w:rsidP="00575D8C">
      <w:pPr>
        <w:ind w:firstLine="720"/>
        <w:jc w:val="both"/>
        <w:rPr>
          <w:sz w:val="22"/>
          <w:szCs w:val="22"/>
        </w:rPr>
      </w:pPr>
      <w:r w:rsidRPr="00582138">
        <w:rPr>
          <w:sz w:val="22"/>
          <w:szCs w:val="22"/>
        </w:rPr>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3764F6F" w14:textId="77777777" w:rsidR="00575D8C" w:rsidRPr="00582138" w:rsidRDefault="00575D8C" w:rsidP="00575D8C">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019B874A"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46A1D2F6" w14:textId="77777777" w:rsidR="00575D8C" w:rsidRPr="00582138" w:rsidRDefault="00575D8C" w:rsidP="00575D8C">
      <w:pPr>
        <w:ind w:firstLine="720"/>
        <w:rPr>
          <w:sz w:val="22"/>
          <w:szCs w:val="22"/>
        </w:rPr>
      </w:pPr>
      <w:r w:rsidRPr="00582138">
        <w:rPr>
          <w:sz w:val="22"/>
          <w:szCs w:val="22"/>
        </w:rPr>
        <w:t>8.2. Договор прекращается:</w:t>
      </w:r>
    </w:p>
    <w:p w14:paraId="4927003C" w14:textId="77777777" w:rsidR="00575D8C" w:rsidRPr="00582138" w:rsidRDefault="00575D8C" w:rsidP="00575D8C">
      <w:pPr>
        <w:ind w:firstLine="720"/>
        <w:rPr>
          <w:sz w:val="22"/>
          <w:szCs w:val="22"/>
        </w:rPr>
      </w:pPr>
      <w:r w:rsidRPr="00582138">
        <w:rPr>
          <w:sz w:val="22"/>
          <w:szCs w:val="22"/>
        </w:rPr>
        <w:t>- по соглашению Сторон;</w:t>
      </w:r>
    </w:p>
    <w:p w14:paraId="7840CD11" w14:textId="77777777" w:rsidR="00575D8C" w:rsidRPr="00582138" w:rsidRDefault="00575D8C" w:rsidP="00575D8C">
      <w:pPr>
        <w:ind w:firstLine="720"/>
        <w:rPr>
          <w:sz w:val="22"/>
          <w:szCs w:val="22"/>
        </w:rPr>
      </w:pPr>
      <w:r w:rsidRPr="00582138">
        <w:rPr>
          <w:sz w:val="22"/>
          <w:szCs w:val="22"/>
        </w:rPr>
        <w:t>- по решению суда;</w:t>
      </w:r>
    </w:p>
    <w:p w14:paraId="69080C1F" w14:textId="77777777" w:rsidR="00575D8C" w:rsidRPr="00582138" w:rsidRDefault="00575D8C" w:rsidP="00575D8C">
      <w:pPr>
        <w:ind w:firstLine="720"/>
        <w:jc w:val="both"/>
        <w:rPr>
          <w:sz w:val="22"/>
          <w:szCs w:val="22"/>
        </w:rPr>
      </w:pPr>
      <w:r w:rsidRPr="00582138">
        <w:rPr>
          <w:sz w:val="22"/>
          <w:szCs w:val="22"/>
        </w:rPr>
        <w:t>- по выполнению Сторонами всех обязательств по Договору;</w:t>
      </w:r>
    </w:p>
    <w:p w14:paraId="74C5E058"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663C7D10"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w:t>
      </w:r>
      <w:r w:rsidRPr="00582138">
        <w:rPr>
          <w:sz w:val="22"/>
          <w:szCs w:val="22"/>
        </w:rPr>
        <w:lastRenderedPageBreak/>
        <w:t>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3996BAA3"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6682C14D" w14:textId="77777777" w:rsidR="00575D8C" w:rsidRPr="00582138" w:rsidRDefault="00575D8C" w:rsidP="00575D8C">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13E88C1" w14:textId="77777777" w:rsidR="00575D8C" w:rsidRPr="00582138" w:rsidRDefault="00575D8C" w:rsidP="00575D8C">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060D5748" w14:textId="77777777" w:rsidR="00575D8C" w:rsidRPr="00582138" w:rsidRDefault="00575D8C" w:rsidP="00575D8C">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14:paraId="48DA1855" w14:textId="77777777" w:rsidR="00575D8C" w:rsidRPr="00582138" w:rsidRDefault="00575D8C" w:rsidP="00575D8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14:paraId="71E4510A" w14:textId="77777777" w:rsidR="00575D8C" w:rsidRPr="00582138" w:rsidRDefault="00575D8C" w:rsidP="00575D8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5F05D681"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9.4. Участник долевого строительства праве до подписания настоящего Договора ознакомиться с документацией </w:t>
      </w:r>
      <w:r>
        <w:rPr>
          <w:sz w:val="22"/>
          <w:szCs w:val="22"/>
        </w:rPr>
        <w:t>по строящемуся Зданию и Помещению</w:t>
      </w:r>
      <w:r w:rsidRPr="00582138">
        <w:rPr>
          <w:sz w:val="22"/>
          <w:szCs w:val="22"/>
        </w:rPr>
        <w:t xml:space="preserve">,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7E030606" w14:textId="1C7E460A" w:rsidR="00575D8C" w:rsidRPr="00582138" w:rsidRDefault="00575D8C" w:rsidP="00575D8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D749BE">
        <w:rPr>
          <w:sz w:val="22"/>
          <w:szCs w:val="22"/>
        </w:rPr>
        <w:t>й деятельности Сторон, и иной и</w:t>
      </w:r>
      <w:r w:rsidRPr="00582138">
        <w:rPr>
          <w:sz w:val="22"/>
          <w:szCs w:val="22"/>
        </w:rPr>
        <w:t>н</w:t>
      </w:r>
      <w:r w:rsidR="00D749BE">
        <w:rPr>
          <w:sz w:val="22"/>
          <w:szCs w:val="22"/>
        </w:rPr>
        <w:t>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550B1B5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14:paraId="2625193F" w14:textId="77777777" w:rsidR="00575D8C" w:rsidRPr="00582138" w:rsidRDefault="00575D8C" w:rsidP="00575D8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78465FA6"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14:paraId="3ED0545F"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14:paraId="59419E1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w:t>
      </w:r>
      <w:r w:rsidRPr="00582138">
        <w:rPr>
          <w:sz w:val="22"/>
          <w:szCs w:val="22"/>
        </w:rPr>
        <w:lastRenderedPageBreak/>
        <w:t>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55AF9E7"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E31DE12"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A21397E"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7A798A0" w14:textId="77777777" w:rsidR="00575D8C" w:rsidRPr="00582138" w:rsidRDefault="00575D8C" w:rsidP="00575D8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14:paraId="139703A6" w14:textId="77777777" w:rsidR="00575D8C" w:rsidRPr="00582138" w:rsidRDefault="00575D8C" w:rsidP="00575D8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373C2C2" w14:textId="77777777" w:rsidR="00575D8C" w:rsidRPr="00582138" w:rsidRDefault="00575D8C" w:rsidP="00575D8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2B0362F2" w14:textId="77777777" w:rsidR="00575D8C" w:rsidRPr="00582138" w:rsidRDefault="00575D8C" w:rsidP="00575D8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14:paraId="3BF7A8EB" w14:textId="77777777" w:rsidR="00575D8C" w:rsidRPr="00582138" w:rsidRDefault="00575D8C" w:rsidP="00575D8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7181265" w14:textId="77777777" w:rsidR="00575D8C" w:rsidRPr="00582138" w:rsidRDefault="00575D8C" w:rsidP="00575D8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61866A0E" w14:textId="77777777" w:rsidR="00575D8C" w:rsidRPr="00582138" w:rsidRDefault="00575D8C" w:rsidP="00575D8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Pr>
          <w:sz w:val="22"/>
          <w:szCs w:val="22"/>
        </w:rPr>
        <w:t>Помещения</w:t>
      </w:r>
      <w:r w:rsidRPr="00582138">
        <w:rPr>
          <w:sz w:val="22"/>
          <w:szCs w:val="22"/>
        </w:rPr>
        <w:t xml:space="preserve"> для личного (индивидуального или семейного) использования; </w:t>
      </w:r>
    </w:p>
    <w:p w14:paraId="7C9F9238" w14:textId="77777777" w:rsidR="00575D8C" w:rsidRPr="00582138" w:rsidRDefault="00575D8C" w:rsidP="00575D8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0B96735" w14:textId="77777777" w:rsidR="00575D8C" w:rsidRPr="00582138" w:rsidRDefault="00575D8C" w:rsidP="00575D8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33B90F48" w14:textId="77777777" w:rsidR="00575D8C" w:rsidRPr="00582138" w:rsidRDefault="00575D8C" w:rsidP="00575D8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D8C0B61" w14:textId="77777777" w:rsidR="00575D8C" w:rsidRPr="00582138" w:rsidRDefault="00575D8C" w:rsidP="00575D8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609D7A5A" w14:textId="77777777" w:rsidR="00575D8C" w:rsidRPr="00582138" w:rsidRDefault="00575D8C" w:rsidP="00575D8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43CFB926" w14:textId="77777777" w:rsidR="00E665CC" w:rsidRDefault="00E665CC" w:rsidP="00E665C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12FEC751" w14:textId="77777777" w:rsidR="00E665CC" w:rsidRPr="0034633C" w:rsidRDefault="00E665CC" w:rsidP="00E665CC">
      <w:pPr>
        <w:ind w:firstLine="709"/>
        <w:jc w:val="center"/>
        <w:rPr>
          <w:sz w:val="22"/>
          <w:szCs w:val="22"/>
        </w:rPr>
      </w:pPr>
      <w:r>
        <w:rPr>
          <w:i/>
          <w:sz w:val="22"/>
          <w:szCs w:val="22"/>
        </w:rPr>
        <w:t>или</w:t>
      </w:r>
    </w:p>
    <w:p w14:paraId="5331201A" w14:textId="77777777" w:rsidR="00E665CC" w:rsidRPr="00D35DBC" w:rsidRDefault="00E665CC" w:rsidP="00E665CC">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Участников соответственно. </w:t>
      </w:r>
    </w:p>
    <w:p w14:paraId="1EA96FB2" w14:textId="77777777" w:rsidR="00E665CC" w:rsidRPr="00D14689" w:rsidRDefault="00E665CC" w:rsidP="00E665CC">
      <w:pPr>
        <w:pStyle w:val="af5"/>
        <w:tabs>
          <w:tab w:val="left" w:pos="1134"/>
        </w:tabs>
        <w:ind w:left="0" w:firstLine="709"/>
        <w:jc w:val="both"/>
        <w:rPr>
          <w:sz w:val="22"/>
          <w:szCs w:val="22"/>
        </w:rPr>
      </w:pPr>
      <w:r w:rsidRPr="00D35DBC">
        <w:rPr>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lastRenderedPageBreak/>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92446E2" w14:textId="77777777" w:rsidR="00E665CC" w:rsidRPr="00582138" w:rsidRDefault="00E665CC" w:rsidP="00E665CC">
      <w:pPr>
        <w:pageBreakBefore/>
        <w:jc w:val="right"/>
        <w:rPr>
          <w:b/>
          <w:bCs/>
          <w:sz w:val="22"/>
          <w:szCs w:val="22"/>
        </w:rPr>
      </w:pPr>
      <w:r w:rsidRPr="00582138">
        <w:rPr>
          <w:b/>
          <w:bCs/>
          <w:sz w:val="22"/>
          <w:szCs w:val="22"/>
        </w:rPr>
        <w:lastRenderedPageBreak/>
        <w:t xml:space="preserve">Приложение № 1 </w:t>
      </w:r>
    </w:p>
    <w:p w14:paraId="0FC02472"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5942E2CF"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7603FE48" w14:textId="77777777" w:rsidR="00E665CC" w:rsidRPr="00582138" w:rsidRDefault="00E665CC" w:rsidP="00E665CC">
      <w:pPr>
        <w:jc w:val="right"/>
        <w:rPr>
          <w:bCs/>
          <w:sz w:val="22"/>
          <w:szCs w:val="22"/>
        </w:rPr>
      </w:pPr>
    </w:p>
    <w:p w14:paraId="123EFD41" w14:textId="77777777" w:rsidR="00E665CC" w:rsidRPr="00582138" w:rsidRDefault="00E665CC" w:rsidP="00E665CC">
      <w:pPr>
        <w:jc w:val="center"/>
        <w:rPr>
          <w:b/>
          <w:sz w:val="22"/>
          <w:szCs w:val="22"/>
        </w:rPr>
      </w:pPr>
      <w:r w:rsidRPr="00582138">
        <w:rPr>
          <w:b/>
          <w:sz w:val="22"/>
          <w:szCs w:val="22"/>
        </w:rPr>
        <w:t>Основные характеристики Здания</w:t>
      </w:r>
    </w:p>
    <w:p w14:paraId="15866C13" w14:textId="77777777" w:rsidR="00E665CC" w:rsidRPr="00582138" w:rsidRDefault="00E665CC" w:rsidP="00E665CC">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14:paraId="60ECD6FD" w14:textId="77777777" w:rsidR="00E665CC" w:rsidRPr="00582138" w:rsidRDefault="00E665CC" w:rsidP="00E665CC">
      <w:pPr>
        <w:jc w:val="center"/>
        <w:rPr>
          <w:b/>
          <w:bCs/>
          <w:noProof/>
          <w:sz w:val="22"/>
          <w:szCs w:val="22"/>
        </w:rPr>
      </w:pPr>
    </w:p>
    <w:p w14:paraId="790089B0" w14:textId="77777777" w:rsidR="00E665CC" w:rsidRDefault="00E665CC" w:rsidP="00E665CC">
      <w:pPr>
        <w:widowControl w:val="0"/>
        <w:jc w:val="center"/>
        <w:rPr>
          <w:b/>
          <w:sz w:val="22"/>
          <w:szCs w:val="22"/>
        </w:rPr>
      </w:pPr>
      <w:r>
        <w:rPr>
          <w:b/>
          <w:sz w:val="22"/>
          <w:szCs w:val="22"/>
        </w:rPr>
        <w:t xml:space="preserve">Комплекс многоквартирных жилых домов с объектами обслуживания жилой застройки по ул. Горпищенко в г. Севастополе. </w:t>
      </w:r>
      <w:r>
        <w:rPr>
          <w:b/>
          <w:sz w:val="22"/>
          <w:szCs w:val="22"/>
          <w:lang w:val="en-US"/>
        </w:rPr>
        <w:t>III</w:t>
      </w:r>
      <w:r>
        <w:rPr>
          <w:b/>
          <w:sz w:val="22"/>
          <w:szCs w:val="22"/>
        </w:rPr>
        <w:t xml:space="preserve"> этап строительства</w:t>
      </w:r>
    </w:p>
    <w:p w14:paraId="24AF26B7" w14:textId="77777777" w:rsidR="00E665CC" w:rsidRDefault="00E665CC" w:rsidP="00E665CC">
      <w:pPr>
        <w:widowControl w:val="0"/>
        <w:jc w:val="center"/>
        <w:rPr>
          <w:b/>
          <w:bCs/>
          <w:noProof/>
          <w:sz w:val="22"/>
          <w:szCs w:val="22"/>
        </w:rPr>
      </w:pPr>
      <w:r>
        <w:rPr>
          <w:b/>
          <w:bCs/>
          <w:noProof/>
          <w:sz w:val="22"/>
          <w:szCs w:val="22"/>
        </w:rPr>
        <w:t>Секция 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D749BE"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D749BE" w:rsidRPr="00582138" w:rsidRDefault="00D749BE" w:rsidP="00D749BE">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642260D0" w:rsidR="00D749BE" w:rsidRPr="00E504B9" w:rsidRDefault="00D749BE" w:rsidP="00D749BE">
            <w:pPr>
              <w:widowControl w:val="0"/>
              <w:rPr>
                <w:highlight w:val="green"/>
              </w:rPr>
            </w:pPr>
            <w:r w:rsidRPr="00E341F1">
              <w:rPr>
                <w:sz w:val="22"/>
                <w:szCs w:val="22"/>
              </w:rPr>
              <w:t xml:space="preserve">наружные стены – </w:t>
            </w:r>
            <w:r>
              <w:rPr>
                <w:sz w:val="22"/>
                <w:szCs w:val="22"/>
              </w:rPr>
              <w:t>из крупных панелей</w:t>
            </w:r>
          </w:p>
        </w:tc>
      </w:tr>
      <w:tr w:rsidR="00D749BE"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D749BE" w:rsidRPr="00582138" w:rsidRDefault="00D749BE" w:rsidP="00D749BE">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26980558" w:rsidR="00D749BE" w:rsidRPr="00E504B9" w:rsidRDefault="00D749BE" w:rsidP="00D749BE">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0FB27632" w14:textId="6D17C729" w:rsidR="00E665CC" w:rsidRPr="00582138" w:rsidRDefault="00E665CC" w:rsidP="00E665CC">
      <w:pPr>
        <w:pageBreakBefore/>
        <w:jc w:val="right"/>
        <w:rPr>
          <w:b/>
          <w:bCs/>
          <w:sz w:val="22"/>
          <w:szCs w:val="22"/>
        </w:rPr>
      </w:pPr>
      <w:r>
        <w:rPr>
          <w:b/>
          <w:bCs/>
          <w:sz w:val="22"/>
          <w:szCs w:val="22"/>
        </w:rPr>
        <w:lastRenderedPageBreak/>
        <w:t>Приложение № 2</w:t>
      </w:r>
      <w:r w:rsidRPr="00582138">
        <w:rPr>
          <w:b/>
          <w:bCs/>
          <w:sz w:val="22"/>
          <w:szCs w:val="22"/>
        </w:rPr>
        <w:t xml:space="preserve"> </w:t>
      </w:r>
    </w:p>
    <w:p w14:paraId="4C6D2777"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128FEF21"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3B136459" w14:textId="77777777" w:rsidR="00580E8E" w:rsidRPr="00582138" w:rsidRDefault="00580E8E" w:rsidP="00580E8E">
      <w:pPr>
        <w:jc w:val="center"/>
        <w:rPr>
          <w:b/>
          <w:sz w:val="22"/>
          <w:szCs w:val="22"/>
        </w:rPr>
      </w:pPr>
      <w:r>
        <w:rPr>
          <w:b/>
          <w:sz w:val="22"/>
          <w:szCs w:val="22"/>
        </w:rPr>
        <w:t>Планировка Помещения и местоположение Помещения</w:t>
      </w:r>
      <w:r w:rsidRPr="00582138">
        <w:rPr>
          <w:b/>
          <w:sz w:val="22"/>
          <w:szCs w:val="22"/>
        </w:rPr>
        <w:t xml:space="preserve"> на этаже Здания</w:t>
      </w:r>
    </w:p>
    <w:p w14:paraId="71FD77A8" w14:textId="77777777" w:rsidR="00580E8E" w:rsidRPr="00582138" w:rsidRDefault="00580E8E" w:rsidP="00580E8E">
      <w:pPr>
        <w:jc w:val="center"/>
        <w:rPr>
          <w:sz w:val="22"/>
          <w:szCs w:val="22"/>
        </w:rPr>
      </w:pPr>
    </w:p>
    <w:p w14:paraId="23E45341" w14:textId="77777777" w:rsidR="00580E8E" w:rsidRPr="00582138" w:rsidRDefault="00580E8E" w:rsidP="00580E8E">
      <w:pPr>
        <w:jc w:val="center"/>
        <w:rPr>
          <w:sz w:val="20"/>
          <w:szCs w:val="20"/>
        </w:rPr>
      </w:pPr>
      <w:r w:rsidRPr="00582138">
        <w:rPr>
          <w:sz w:val="20"/>
          <w:szCs w:val="20"/>
        </w:rPr>
        <w:t>Планировка _ этажа</w:t>
      </w:r>
    </w:p>
    <w:p w14:paraId="095ABBC2" w14:textId="77777777" w:rsidR="00580E8E" w:rsidRPr="00582138" w:rsidRDefault="00580E8E" w:rsidP="00580E8E">
      <w:pPr>
        <w:jc w:val="center"/>
        <w:rPr>
          <w:noProof/>
        </w:rPr>
      </w:pPr>
    </w:p>
    <w:p w14:paraId="78E1BE77" w14:textId="77777777" w:rsidR="00580E8E" w:rsidRPr="00582138" w:rsidRDefault="00580E8E" w:rsidP="00580E8E">
      <w:pPr>
        <w:jc w:val="center"/>
        <w:rPr>
          <w:noProof/>
        </w:rPr>
      </w:pPr>
    </w:p>
    <w:p w14:paraId="0754D5E4" w14:textId="77777777" w:rsidR="00580E8E" w:rsidRPr="00582138" w:rsidRDefault="00580E8E" w:rsidP="00580E8E">
      <w:pPr>
        <w:jc w:val="center"/>
        <w:rPr>
          <w:noProof/>
        </w:rPr>
      </w:pPr>
    </w:p>
    <w:p w14:paraId="5C9E4CA4" w14:textId="77777777" w:rsidR="00580E8E" w:rsidRPr="00582138" w:rsidRDefault="00580E8E" w:rsidP="00580E8E">
      <w:pPr>
        <w:jc w:val="center"/>
        <w:rPr>
          <w:sz w:val="20"/>
          <w:szCs w:val="20"/>
        </w:rPr>
      </w:pPr>
      <w:r>
        <w:rPr>
          <w:i/>
          <w:iCs/>
          <w:sz w:val="22"/>
          <w:szCs w:val="22"/>
        </w:rPr>
        <w:t>Вставить план расположения Помещения на этаже и планировку Помещения</w:t>
      </w:r>
    </w:p>
    <w:p w14:paraId="3FEF0DFD" w14:textId="77777777" w:rsidR="00580E8E" w:rsidRPr="00582138" w:rsidRDefault="00580E8E" w:rsidP="00580E8E">
      <w:pPr>
        <w:ind w:left="-142"/>
        <w:rPr>
          <w:noProof/>
        </w:rPr>
      </w:pPr>
    </w:p>
    <w:p w14:paraId="50F877A7" w14:textId="77777777" w:rsidR="00580E8E" w:rsidRPr="00582138" w:rsidRDefault="00580E8E" w:rsidP="00580E8E">
      <w:pPr>
        <w:jc w:val="both"/>
        <w:rPr>
          <w:bCs/>
          <w:noProof/>
          <w:sz w:val="22"/>
          <w:szCs w:val="22"/>
        </w:rPr>
      </w:pPr>
    </w:p>
    <w:p w14:paraId="67132C37" w14:textId="77777777" w:rsidR="00580E8E" w:rsidRPr="00582138" w:rsidRDefault="00580E8E" w:rsidP="00580E8E">
      <w:pPr>
        <w:jc w:val="both"/>
        <w:rPr>
          <w:bCs/>
          <w:sz w:val="22"/>
          <w:szCs w:val="22"/>
        </w:rPr>
      </w:pPr>
    </w:p>
    <w:p w14:paraId="65941F0F" w14:textId="77777777" w:rsidR="00580E8E" w:rsidRPr="00582138" w:rsidRDefault="00580E8E" w:rsidP="00580E8E">
      <w:pPr>
        <w:jc w:val="both"/>
        <w:rPr>
          <w:bCs/>
          <w:sz w:val="22"/>
          <w:szCs w:val="22"/>
        </w:rPr>
      </w:pPr>
    </w:p>
    <w:p w14:paraId="7E785D8F" w14:textId="77777777" w:rsidR="00580E8E" w:rsidRPr="00582138" w:rsidRDefault="00580E8E" w:rsidP="00580E8E">
      <w:pPr>
        <w:ind w:firstLine="567"/>
        <w:jc w:val="both"/>
        <w:rPr>
          <w:bCs/>
          <w:sz w:val="22"/>
          <w:szCs w:val="22"/>
        </w:rPr>
      </w:pPr>
    </w:p>
    <w:p w14:paraId="6AAA325B" w14:textId="77777777" w:rsidR="00580E8E" w:rsidRPr="00582138" w:rsidRDefault="00580E8E" w:rsidP="00580E8E">
      <w:pPr>
        <w:ind w:firstLine="567"/>
        <w:jc w:val="both"/>
        <w:rPr>
          <w:bCs/>
          <w:sz w:val="22"/>
          <w:szCs w:val="22"/>
        </w:rPr>
      </w:pPr>
      <w:r>
        <w:rPr>
          <w:bCs/>
          <w:sz w:val="22"/>
          <w:szCs w:val="22"/>
        </w:rPr>
        <w:t>Помещение</w:t>
      </w:r>
      <w:r w:rsidRPr="00582138">
        <w:rPr>
          <w:bCs/>
          <w:sz w:val="22"/>
          <w:szCs w:val="22"/>
        </w:rPr>
        <w:t>, являющ</w:t>
      </w:r>
      <w:r>
        <w:rPr>
          <w:bCs/>
          <w:sz w:val="22"/>
          <w:szCs w:val="22"/>
        </w:rPr>
        <w:t>ее</w:t>
      </w:r>
      <w:r w:rsidRPr="00582138">
        <w:rPr>
          <w:bCs/>
          <w:sz w:val="22"/>
          <w:szCs w:val="22"/>
        </w:rPr>
        <w:t xml:space="preserve">ся объектом долевого строительства по Договору </w:t>
      </w:r>
      <w:r>
        <w:rPr>
          <w:bCs/>
          <w:sz w:val="22"/>
          <w:szCs w:val="22"/>
        </w:rPr>
        <w:t>выделено</w:t>
      </w:r>
      <w:r w:rsidRPr="00582138">
        <w:rPr>
          <w:bCs/>
          <w:sz w:val="22"/>
          <w:szCs w:val="22"/>
        </w:rPr>
        <w:t xml:space="preserve"> и </w:t>
      </w:r>
      <w:r>
        <w:rPr>
          <w:bCs/>
          <w:sz w:val="22"/>
          <w:szCs w:val="22"/>
        </w:rPr>
        <w:t>обведено</w:t>
      </w:r>
      <w:r w:rsidRPr="00582138">
        <w:rPr>
          <w:bCs/>
          <w:sz w:val="22"/>
          <w:szCs w:val="22"/>
        </w:rPr>
        <w:t xml:space="preserve"> красной рамкой.</w:t>
      </w:r>
    </w:p>
    <w:p w14:paraId="1E5AAD32" w14:textId="77777777" w:rsidR="00580E8E" w:rsidRPr="00582138" w:rsidRDefault="00580E8E" w:rsidP="00580E8E">
      <w:pPr>
        <w:ind w:firstLine="567"/>
        <w:jc w:val="both"/>
        <w:rPr>
          <w:sz w:val="22"/>
          <w:szCs w:val="22"/>
        </w:rPr>
      </w:pPr>
      <w:r>
        <w:rPr>
          <w:sz w:val="22"/>
          <w:szCs w:val="22"/>
        </w:rPr>
        <w:t>Планировка Помещения</w:t>
      </w:r>
      <w:r w:rsidRPr="00582138">
        <w:rPr>
          <w:sz w:val="22"/>
          <w:szCs w:val="22"/>
        </w:rPr>
        <w:t xml:space="preserve">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bookmarkStart w:id="0" w:name="_GoBack"/>
      <w:bookmarkEnd w:id="0"/>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54AA12DE" w14:textId="7703FEBB" w:rsidR="00E665CC" w:rsidRPr="00582138" w:rsidRDefault="00E665CC" w:rsidP="00E665CC">
      <w:pPr>
        <w:pageBreakBefore/>
        <w:jc w:val="right"/>
        <w:rPr>
          <w:b/>
          <w:bCs/>
          <w:sz w:val="22"/>
          <w:szCs w:val="22"/>
        </w:rPr>
      </w:pPr>
      <w:r>
        <w:rPr>
          <w:b/>
          <w:bCs/>
          <w:sz w:val="22"/>
          <w:szCs w:val="22"/>
        </w:rPr>
        <w:lastRenderedPageBreak/>
        <w:t>Приложение № 3</w:t>
      </w:r>
      <w:r w:rsidRPr="00582138">
        <w:rPr>
          <w:b/>
          <w:bCs/>
          <w:sz w:val="22"/>
          <w:szCs w:val="22"/>
        </w:rPr>
        <w:t xml:space="preserve"> </w:t>
      </w:r>
    </w:p>
    <w:p w14:paraId="1BA2A199"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491E20FB"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2B27638D"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 xml:space="preserve">ТЕХНИЧЕСКИЕ ХАРАКТЕРИСТИКИ </w:t>
      </w:r>
      <w:r w:rsidR="00580E8E">
        <w:rPr>
          <w:rFonts w:eastAsia="Times New Roman"/>
          <w:b/>
          <w:spacing w:val="-10"/>
          <w:sz w:val="22"/>
          <w:szCs w:val="22"/>
        </w:rPr>
        <w:t>ПОМЕЩЕНИЯ</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D749BE"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D749BE" w:rsidRPr="00582138" w:rsidRDefault="00D749BE" w:rsidP="00D749BE">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68314EFF" w:rsidR="00D749BE" w:rsidRPr="00582138" w:rsidRDefault="00D749BE" w:rsidP="00D749BE">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D749BE"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D749BE" w:rsidRPr="00582138" w:rsidRDefault="00D749BE" w:rsidP="00D749BE">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D749BE" w:rsidRPr="00582138" w:rsidRDefault="00D749BE" w:rsidP="00D749BE">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E516330" w:rsidR="00D749BE" w:rsidRPr="00582138" w:rsidRDefault="00D749BE" w:rsidP="00D749BE">
            <w:pPr>
              <w:ind w:left="109" w:right="116"/>
              <w:jc w:val="both"/>
              <w:rPr>
                <w:rFonts w:eastAsia="Times New Roman"/>
              </w:rPr>
            </w:pPr>
            <w:r w:rsidRPr="00582138">
              <w:rPr>
                <w:rFonts w:eastAsia="Times New Roman"/>
                <w:sz w:val="22"/>
                <w:szCs w:val="22"/>
              </w:rPr>
              <w:t>Без отделки</w:t>
            </w:r>
          </w:p>
        </w:tc>
      </w:tr>
      <w:tr w:rsidR="00D749BE"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D749BE" w:rsidRPr="00582138" w:rsidRDefault="00D749BE" w:rsidP="00D749BE">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D749BE" w:rsidRPr="00582138" w:rsidRDefault="00D749BE" w:rsidP="00D749BE">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10D337EF" w:rsidR="00D749BE" w:rsidRPr="00582138" w:rsidRDefault="00D749BE" w:rsidP="00D749BE">
            <w:pPr>
              <w:ind w:left="109" w:right="116"/>
              <w:jc w:val="both"/>
              <w:rPr>
                <w:rFonts w:eastAsia="Times New Roman"/>
              </w:rPr>
            </w:pPr>
            <w:r w:rsidRPr="00582138">
              <w:rPr>
                <w:rFonts w:eastAsia="Times New Roman"/>
                <w:sz w:val="22"/>
                <w:szCs w:val="22"/>
              </w:rPr>
              <w:t>Железобетон без отделки</w:t>
            </w:r>
          </w:p>
        </w:tc>
      </w:tr>
      <w:tr w:rsidR="00D749BE"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D749BE" w:rsidRPr="00582138" w:rsidRDefault="00D749BE" w:rsidP="00D749BE">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D749BE" w:rsidRPr="00582138" w:rsidRDefault="00D749BE" w:rsidP="00D749BE">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23D2E82" w:rsidR="00D749BE" w:rsidRPr="00582138" w:rsidRDefault="00D749BE" w:rsidP="00D749BE">
            <w:pPr>
              <w:ind w:left="109" w:right="116"/>
              <w:jc w:val="both"/>
              <w:rPr>
                <w:rFonts w:eastAsia="Times New Roman"/>
              </w:rPr>
            </w:pPr>
            <w:r w:rsidRPr="00582138">
              <w:rPr>
                <w:rFonts w:eastAsia="Times New Roman"/>
                <w:sz w:val="22"/>
                <w:szCs w:val="22"/>
              </w:rPr>
              <w:t>Цементно-песчана</w:t>
            </w:r>
            <w:r w:rsidR="00E4457D">
              <w:rPr>
                <w:rFonts w:eastAsia="Times New Roman"/>
                <w:sz w:val="22"/>
                <w:szCs w:val="22"/>
              </w:rPr>
              <w:t>я стяжка, кроме с/узла</w:t>
            </w:r>
          </w:p>
        </w:tc>
      </w:tr>
      <w:tr w:rsidR="00D749BE"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D749BE" w:rsidRPr="00582138" w:rsidRDefault="00D749BE" w:rsidP="00D749BE">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D749BE" w:rsidRPr="00582138" w:rsidRDefault="00D749BE" w:rsidP="00D749BE">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603C6DDF" w:rsidR="00D749BE" w:rsidRPr="00582138" w:rsidRDefault="00D749BE" w:rsidP="00D749BE">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D749BE"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D749BE" w:rsidRPr="00582138" w:rsidRDefault="00D749BE" w:rsidP="00D749BE">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5BB07B51" w:rsidR="00D749BE" w:rsidRPr="00582138" w:rsidRDefault="00D749BE" w:rsidP="00D749BE">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D749BE"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D749BE" w:rsidRPr="00582138" w:rsidRDefault="00D749BE" w:rsidP="00D749BE">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D749BE" w:rsidRPr="00582138" w:rsidRDefault="00D749BE" w:rsidP="00D749BE">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39CFF392" w:rsidR="00D749BE" w:rsidRPr="00582138" w:rsidRDefault="00D749BE" w:rsidP="00D749BE">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D749BE"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D749BE" w:rsidRPr="00582138" w:rsidRDefault="00D749BE" w:rsidP="00D749BE">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2D06C0B" w14:textId="77777777" w:rsidR="00D749BE" w:rsidRPr="00582138" w:rsidRDefault="00D749BE" w:rsidP="00D749BE">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20CDC56E" w14:textId="070C4C22" w:rsidR="00D749BE" w:rsidRPr="00582138" w:rsidRDefault="00D749BE" w:rsidP="00D749BE">
            <w:pPr>
              <w:ind w:left="109" w:right="116"/>
              <w:jc w:val="both"/>
              <w:rPr>
                <w:rFonts w:eastAsia="Times New Roman"/>
              </w:rPr>
            </w:pPr>
            <w:r w:rsidRPr="00582138">
              <w:rPr>
                <w:rFonts w:eastAsia="Times New Roman"/>
                <w:sz w:val="22"/>
                <w:szCs w:val="22"/>
              </w:rPr>
              <w:t xml:space="preserve">Вода: Разводка </w:t>
            </w:r>
            <w:r w:rsidR="00E4457D">
              <w:rPr>
                <w:rFonts w:eastAsia="Times New Roman"/>
                <w:sz w:val="22"/>
                <w:szCs w:val="22"/>
              </w:rPr>
              <w:t>по проекту</w:t>
            </w:r>
            <w:r w:rsidRPr="00582138">
              <w:rPr>
                <w:rFonts w:eastAsia="Times New Roman"/>
                <w:sz w:val="22"/>
                <w:szCs w:val="22"/>
              </w:rPr>
              <w:t>. Сантехприборы отсутствуют.</w:t>
            </w:r>
          </w:p>
          <w:p w14:paraId="111BC1DD" w14:textId="04D3707D" w:rsidR="00D749BE" w:rsidRPr="00582138" w:rsidRDefault="00D749BE" w:rsidP="00D749BE">
            <w:pPr>
              <w:ind w:left="109" w:right="116"/>
              <w:jc w:val="both"/>
              <w:rPr>
                <w:rFonts w:eastAsia="Times New Roman"/>
              </w:rPr>
            </w:pPr>
            <w:r w:rsidRPr="00582138">
              <w:rPr>
                <w:rFonts w:eastAsia="Times New Roman"/>
                <w:sz w:val="22"/>
                <w:szCs w:val="22"/>
              </w:rPr>
              <w:t>Канализация</w:t>
            </w:r>
            <w:r w:rsidR="00E4457D">
              <w:rPr>
                <w:rFonts w:eastAsia="Times New Roman"/>
                <w:sz w:val="22"/>
                <w:szCs w:val="22"/>
              </w:rPr>
              <w:t>: согласно проекту</w:t>
            </w:r>
          </w:p>
          <w:p w14:paraId="48F6FFFF" w14:textId="1A18E2AC" w:rsidR="00D749BE" w:rsidRPr="00582138" w:rsidRDefault="00D749BE" w:rsidP="00E4457D">
            <w:pPr>
              <w:ind w:left="109" w:right="116"/>
              <w:jc w:val="both"/>
              <w:rPr>
                <w:rFonts w:eastAsia="Times New Roman"/>
              </w:rPr>
            </w:pPr>
            <w:r w:rsidRPr="00582138">
              <w:rPr>
                <w:rFonts w:eastAsia="Times New Roman"/>
                <w:sz w:val="22"/>
                <w:szCs w:val="22"/>
              </w:rPr>
              <w:t xml:space="preserve">Электричество: </w:t>
            </w:r>
            <w:r w:rsidR="00E4457D">
              <w:rPr>
                <w:rFonts w:eastAsia="Times New Roman"/>
                <w:sz w:val="22"/>
                <w:szCs w:val="22"/>
              </w:rPr>
              <w:t>согласно проекту</w:t>
            </w:r>
            <w:r w:rsidRPr="00582138">
              <w:rPr>
                <w:rFonts w:eastAsia="Times New Roman"/>
                <w:sz w:val="22"/>
                <w:szCs w:val="22"/>
              </w:rPr>
              <w:t>.</w:t>
            </w:r>
          </w:p>
        </w:tc>
      </w:tr>
      <w:tr w:rsidR="00D749BE"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D749BE" w:rsidRPr="00582138" w:rsidRDefault="00D749BE" w:rsidP="00D749BE">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D749BE" w:rsidRPr="00582138" w:rsidRDefault="00D749BE" w:rsidP="00D749BE">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50971A3" w:rsidR="00D749BE" w:rsidRPr="00582138" w:rsidRDefault="00D749BE" w:rsidP="00D749BE">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6BFD" w14:textId="77777777" w:rsidR="002D4559" w:rsidRDefault="002D4559" w:rsidP="00DC351D">
      <w:r>
        <w:separator/>
      </w:r>
    </w:p>
  </w:endnote>
  <w:endnote w:type="continuationSeparator" w:id="0">
    <w:p w14:paraId="562124B1" w14:textId="77777777" w:rsidR="002D4559" w:rsidRDefault="002D455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40E0" w14:textId="77777777" w:rsidR="002D4559" w:rsidRDefault="002D4559" w:rsidP="00DC351D">
      <w:r>
        <w:separator/>
      </w:r>
    </w:p>
  </w:footnote>
  <w:footnote w:type="continuationSeparator" w:id="0">
    <w:p w14:paraId="3F40817A" w14:textId="77777777" w:rsidR="002D4559" w:rsidRDefault="002D4559" w:rsidP="00DC3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462318EC"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E665CC" w:rsidRPr="00E665CC">
                                <w:rPr>
                                  <w:rStyle w:val="aff0"/>
                                  <w:b/>
                                  <w:bCs/>
                                  <w:noProof/>
                                  <w:color w:val="FFFFFF" w:themeColor="background1"/>
                                </w:rPr>
                                <w:t>9</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462318EC"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E665CC" w:rsidRPr="00E665CC">
                          <w:rPr>
                            <w:rStyle w:val="aff0"/>
                            <w:b/>
                            <w:bCs/>
                            <w:noProof/>
                            <w:color w:val="FFFFFF" w:themeColor="background1"/>
                          </w:rPr>
                          <w:t>9</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69CE"/>
    <w:rsid w:val="00197A1F"/>
    <w:rsid w:val="001A066C"/>
    <w:rsid w:val="001A12AF"/>
    <w:rsid w:val="001A149E"/>
    <w:rsid w:val="001A26F7"/>
    <w:rsid w:val="001A2D24"/>
    <w:rsid w:val="001B10B6"/>
    <w:rsid w:val="001B4B57"/>
    <w:rsid w:val="001B7ACD"/>
    <w:rsid w:val="001C080B"/>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4D8B"/>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D4559"/>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8764D"/>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5D8C"/>
    <w:rsid w:val="0057725D"/>
    <w:rsid w:val="00580E8E"/>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1D03"/>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4456"/>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0F3"/>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1C65"/>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CBC"/>
    <w:rsid w:val="009E7F80"/>
    <w:rsid w:val="009F171A"/>
    <w:rsid w:val="009F4225"/>
    <w:rsid w:val="009F6932"/>
    <w:rsid w:val="00A00F49"/>
    <w:rsid w:val="00A01742"/>
    <w:rsid w:val="00A02898"/>
    <w:rsid w:val="00A03FDA"/>
    <w:rsid w:val="00A058D7"/>
    <w:rsid w:val="00A11B5C"/>
    <w:rsid w:val="00A142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28E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6739"/>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6030"/>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49B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1541"/>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1031"/>
    <w:rsid w:val="00E4457D"/>
    <w:rsid w:val="00E44EDB"/>
    <w:rsid w:val="00E45015"/>
    <w:rsid w:val="00E45418"/>
    <w:rsid w:val="00E504B9"/>
    <w:rsid w:val="00E513B8"/>
    <w:rsid w:val="00E52F13"/>
    <w:rsid w:val="00E54186"/>
    <w:rsid w:val="00E57999"/>
    <w:rsid w:val="00E610A5"/>
    <w:rsid w:val="00E65FA9"/>
    <w:rsid w:val="00E665CC"/>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21">
    <w:name w:val="Основной текст (2)_"/>
    <w:basedOn w:val="a0"/>
    <w:link w:val="22"/>
    <w:rsid w:val="00575D8C"/>
    <w:rPr>
      <w:rFonts w:ascii="Times New Roman" w:eastAsia="Times New Roman" w:hAnsi="Times New Roman"/>
      <w:shd w:val="clear" w:color="auto" w:fill="FFFFFF"/>
    </w:rPr>
  </w:style>
  <w:style w:type="paragraph" w:customStyle="1" w:styleId="22">
    <w:name w:val="Основной текст (2)"/>
    <w:basedOn w:val="a"/>
    <w:link w:val="21"/>
    <w:rsid w:val="00575D8C"/>
    <w:pPr>
      <w:widowControl w:val="0"/>
      <w:shd w:val="clear" w:color="auto" w:fill="FFFFFF"/>
      <w:spacing w:before="300" w:after="300" w:line="0" w:lineRule="atLeast"/>
      <w:ind w:hanging="140"/>
      <w:jc w:val="both"/>
    </w:pPr>
    <w:rPr>
      <w:rFonts w:eastAsia="Times New Roman"/>
      <w:sz w:val="22"/>
      <w:szCs w:val="22"/>
    </w:rPr>
  </w:style>
  <w:style w:type="character" w:customStyle="1" w:styleId="23">
    <w:name w:val="Основной текст (2) + Полужирный"/>
    <w:basedOn w:val="21"/>
    <w:rsid w:val="00575D8C"/>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layout">
    <w:name w:val="layout"/>
    <w:basedOn w:val="a0"/>
    <w:rsid w:val="0068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9DB348C4-5838-4723-BCF9-2032B8E1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9</cp:revision>
  <cp:lastPrinted>2019-11-05T13:16:00Z</cp:lastPrinted>
  <dcterms:created xsi:type="dcterms:W3CDTF">2020-12-21T14:34:00Z</dcterms:created>
  <dcterms:modified xsi:type="dcterms:W3CDTF">2022-04-06T08:19:00Z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