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w:t>
            </w:r>
            <w:r w:rsidR="005C63C7">
              <w:rPr>
                <w:rFonts w:ascii="Times New Roman" w:eastAsia="Times New Roman" w:hAnsi="Times New Roman" w:cs="Times New Roman"/>
              </w:rPr>
              <w:t>3</w:t>
            </w:r>
            <w:r w:rsidR="005269F1" w:rsidRPr="003B2D55">
              <w:rPr>
                <w:rFonts w:ascii="Times New Roman" w:eastAsia="Times New Roman" w:hAnsi="Times New Roman" w:cs="Times New Roman"/>
              </w:rPr>
              <w:t xml:space="preserve">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xml:space="preserve">, адрес (местонахождение): 347904, Россия, Ростовская область, г. Таганрог, ул. Октябрьская, 38, корпус Б, помещение 7,8, ИНН 6154141958, КПП 615401001, ОГРН 1156196073560, ОКПО 27205428, р/с </w:t>
      </w:r>
      <w:r w:rsidR="008558B8" w:rsidRPr="00445911">
        <w:rPr>
          <w:rFonts w:ascii="Times New Roman" w:hAnsi="Times New Roman" w:cs="Times New Roman"/>
        </w:rPr>
        <w:t>40702810752090002984 в ЮГО-ЗАПАДНЫЙ БАНК ПАО СБЕРБАНК, к/с 30101810600000000602, БИК 046015602</w:t>
      </w:r>
      <w:r w:rsidR="005C63C7">
        <w:rPr>
          <w:rFonts w:ascii="Times New Roman" w:hAnsi="Times New Roman" w:cs="Times New Roman"/>
        </w:rPr>
        <w:t xml:space="preserve">, </w:t>
      </w:r>
      <w:r w:rsidR="005C63C7" w:rsidRPr="00D20F43">
        <w:rPr>
          <w:rFonts w:ascii="Times New Roman" w:hAnsi="Times New Roman" w:cs="Times New Roman"/>
        </w:rPr>
        <w:t>ИНН 7707083893, КПП 616143002</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(куб.м.):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xml:space="preserve">, в т.ч. подземная часть (куб.м.):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куб.м.,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постановке на учет в налоговом органе Застройщика от 04 декабря 2015 г. серия 61 № 007988448;</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Договор купли-продажи от 29.12.2021 г.;</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Разрешение на строительство № 61-58-81-2021 от 12.11.2021 г.;</w:t>
      </w:r>
    </w:p>
    <w:p w:rsidR="00272FE6" w:rsidRPr="003B2D55" w:rsidRDefault="00B7316F" w:rsidP="00B7316F">
      <w:pPr>
        <w:pStyle w:val="a5"/>
        <w:ind w:firstLine="708"/>
        <w:jc w:val="both"/>
        <w:rPr>
          <w:rFonts w:ascii="Times New Roman" w:hAnsi="Times New Roman" w:cs="Times New Roman"/>
          <w:bCs/>
        </w:rPr>
      </w:pPr>
      <w:r w:rsidRPr="003B2D55">
        <w:rPr>
          <w:rFonts w:ascii="Times New Roman" w:hAnsi="Times New Roman" w:cs="Times New Roman"/>
        </w:rPr>
        <w:t xml:space="preserve">- </w:t>
      </w:r>
      <w:r w:rsidR="00230270">
        <w:rPr>
          <w:rFonts w:ascii="Times New Roman" w:hAnsi="Times New Roman" w:cs="Times New Roman"/>
        </w:rPr>
        <w:t>Проектная декларация № 61-001295, дата первичного размещения: 31.03.2022</w:t>
      </w:r>
      <w:r w:rsidRPr="003B2D55">
        <w:rPr>
          <w:rFonts w:ascii="Times New Roman" w:hAnsi="Times New Roman" w:cs="Times New Roman"/>
        </w:rPr>
        <w:t xml:space="preserve"> г</w:t>
      </w:r>
      <w:r w:rsidR="00272FE6" w:rsidRPr="003B2D55">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2D4912" w:rsidRPr="00B950FD">
        <w:rPr>
          <w:rFonts w:ascii="Times New Roman" w:hAnsi="Times New Roman" w:cs="Times New Roman"/>
          <w:b/>
          <w:color w:val="000000" w:themeColor="text1"/>
        </w:rPr>
        <w:t>3 квартал 2026 г.</w:t>
      </w:r>
      <w:r w:rsidR="002D4912">
        <w:rPr>
          <w:rFonts w:ascii="Times New Roman" w:hAnsi="Times New Roman" w:cs="Times New Roman"/>
          <w:color w:val="000000" w:themeColor="text1"/>
        </w:rPr>
        <w:t xml:space="preserve">, но не позднее </w:t>
      </w:r>
      <w:r w:rsidR="002D4912">
        <w:rPr>
          <w:rFonts w:ascii="Times New Roman" w:hAnsi="Times New Roman" w:cs="Times New Roman"/>
          <w:b/>
        </w:rPr>
        <w:t>30</w:t>
      </w:r>
      <w:r w:rsidR="002D4912" w:rsidRPr="003B2D55">
        <w:rPr>
          <w:rFonts w:ascii="Times New Roman" w:hAnsi="Times New Roman" w:cs="Times New Roman"/>
          <w:b/>
        </w:rPr>
        <w:t>.</w:t>
      </w:r>
      <w:r w:rsidR="002D4912">
        <w:rPr>
          <w:rFonts w:ascii="Times New Roman" w:hAnsi="Times New Roman" w:cs="Times New Roman"/>
          <w:b/>
        </w:rPr>
        <w:t>09</w:t>
      </w:r>
      <w:r w:rsidR="002D4912" w:rsidRPr="003B2D55">
        <w:rPr>
          <w:rFonts w:ascii="Times New Roman" w:hAnsi="Times New Roman" w:cs="Times New Roman"/>
          <w:b/>
        </w:rPr>
        <w:t>.2026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8558B8" w:rsidRPr="003B2D55" w:rsidRDefault="00E62520" w:rsidP="008558B8">
      <w:pPr>
        <w:pStyle w:val="a5"/>
        <w:ind w:firstLine="708"/>
        <w:jc w:val="both"/>
        <w:rPr>
          <w:rFonts w:ascii="Times New Roman" w:hAnsi="Times New Roman" w:cs="Times New Roman"/>
        </w:rPr>
      </w:pPr>
      <w:r w:rsidRPr="003B2D55">
        <w:rPr>
          <w:rFonts w:ascii="Times New Roman" w:hAnsi="Times New Roman" w:cs="Times New Roman"/>
        </w:rPr>
        <w:t xml:space="preserve">3.4. </w:t>
      </w:r>
      <w:r w:rsidR="008558B8" w:rsidRPr="003B2D55">
        <w:rPr>
          <w:rFonts w:ascii="Times New Roman" w:hAnsi="Times New Roman" w:cs="Times New Roman"/>
        </w:rPr>
        <w:t xml:space="preserve">Заключая настоящий Договор, Застройщик и Участник долевого строительства предлагают </w:t>
      </w:r>
      <w:r w:rsidR="008558B8" w:rsidRPr="000C7FD6">
        <w:rPr>
          <w:rFonts w:ascii="Times New Roman" w:eastAsia="Calibri" w:hAnsi="Times New Roman"/>
        </w:rPr>
        <w:t>ПАО Сбербанк</w:t>
      </w:r>
      <w:r w:rsidR="008558B8" w:rsidRPr="003B2D55">
        <w:rPr>
          <w:rFonts w:ascii="Times New Roman" w:hAnsi="Times New Roman" w:cs="Times New Roman"/>
        </w:rPr>
        <w:t xml:space="preserve"> заключить Договор счета эскроу в соответствии с </w:t>
      </w:r>
      <w:r w:rsidR="008558B8">
        <w:rPr>
          <w:rFonts w:ascii="Times New Roman" w:hAnsi="Times New Roman" w:cs="Times New Roman"/>
        </w:rPr>
        <w:t>о</w:t>
      </w:r>
      <w:r w:rsidR="008558B8" w:rsidRPr="003B2D55">
        <w:rPr>
          <w:rFonts w:ascii="Times New Roman" w:hAnsi="Times New Roman" w:cs="Times New Roman"/>
        </w:rPr>
        <w:t>бщими условиями открытия и обслуживания счета эскроу, настоящим Договором, на следующих условиях:</w:t>
      </w:r>
    </w:p>
    <w:p w:rsidR="00E62520" w:rsidRDefault="008558B8" w:rsidP="008558B8">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r w:rsidR="00276FDB" w:rsidRPr="003B2D55">
        <w:rPr>
          <w:rFonts w:ascii="Times New Roman" w:hAnsi="Times New Roman" w:cs="Times New Roman"/>
        </w:rPr>
        <w:t>:</w:t>
      </w:r>
    </w:p>
    <w:p w:rsidR="00921F4C" w:rsidRPr="00921F4C" w:rsidRDefault="00921F4C"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3C1FA7">
        <w:trPr>
          <w:trHeight w:val="847"/>
        </w:trPr>
        <w:tc>
          <w:tcPr>
            <w:tcW w:w="127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Условный номер</w:t>
            </w:r>
          </w:p>
        </w:tc>
        <w:tc>
          <w:tcPr>
            <w:tcW w:w="1418"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3C1FA7">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3C1FA7">
        <w:trPr>
          <w:trHeight w:val="412"/>
        </w:trPr>
        <w:tc>
          <w:tcPr>
            <w:tcW w:w="1276" w:type="dxa"/>
            <w:shd w:val="clear" w:color="auto" w:fill="auto"/>
            <w:vAlign w:val="center"/>
          </w:tcPr>
          <w:p w:rsidR="00921F4C" w:rsidRPr="00921F4C" w:rsidRDefault="00921F4C" w:rsidP="003C1FA7">
            <w:pPr>
              <w:pStyle w:val="a5"/>
              <w:rPr>
                <w:rFonts w:ascii="Times New Roman" w:hAnsi="Times New Roman" w:cs="Times New Roman"/>
              </w:rPr>
            </w:pPr>
          </w:p>
        </w:tc>
        <w:tc>
          <w:tcPr>
            <w:tcW w:w="1418" w:type="dxa"/>
            <w:shd w:val="clear" w:color="auto" w:fill="auto"/>
            <w:vAlign w:val="center"/>
          </w:tcPr>
          <w:p w:rsidR="00921F4C" w:rsidRPr="00921F4C" w:rsidRDefault="00921F4C" w:rsidP="003C1FA7">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c>
          <w:tcPr>
            <w:tcW w:w="1416" w:type="dxa"/>
            <w:shd w:val="clear" w:color="auto" w:fill="auto"/>
            <w:vAlign w:val="center"/>
          </w:tcPr>
          <w:p w:rsidR="00921F4C" w:rsidRPr="00921F4C" w:rsidRDefault="00921F4C" w:rsidP="003C1FA7">
            <w:pPr>
              <w:pStyle w:val="a5"/>
              <w:rPr>
                <w:rFonts w:ascii="Times New Roman" w:hAnsi="Times New Roman" w:cs="Times New Roman"/>
              </w:rPr>
            </w:pPr>
          </w:p>
        </w:tc>
        <w:tc>
          <w:tcPr>
            <w:tcW w:w="2553"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сумма: </w:t>
      </w:r>
      <w:r w:rsidRPr="003B2D55">
        <w:rPr>
          <w:rFonts w:ascii="Times New Roman" w:hAnsi="Times New Roman" w:cs="Times New Roman"/>
          <w:highlight w:val="green"/>
        </w:rPr>
        <w:t>__________________</w:t>
      </w:r>
      <w:r w:rsidRPr="003B2D55">
        <w:rPr>
          <w:rFonts w:ascii="Times New Roman" w:hAnsi="Times New Roman" w:cs="Times New Roman"/>
        </w:rPr>
        <w:t>;</w:t>
      </w:r>
    </w:p>
    <w:p w:rsidR="006724BC" w:rsidRPr="00E341B4" w:rsidRDefault="006724BC" w:rsidP="006724BC">
      <w:pPr>
        <w:pStyle w:val="a5"/>
        <w:jc w:val="both"/>
        <w:rPr>
          <w:rFonts w:ascii="Times New Roman" w:hAnsi="Times New Roman" w:cs="Times New Roman"/>
        </w:rPr>
      </w:pPr>
      <w:r w:rsidRPr="003B2D55">
        <w:rPr>
          <w:rFonts w:ascii="Times New Roman" w:hAnsi="Times New Roman" w:cs="Times New Roman"/>
        </w:rPr>
        <w:t xml:space="preserve">- порядок формирования депонируемой </w:t>
      </w:r>
      <w:r w:rsidRPr="00E341B4">
        <w:rPr>
          <w:rFonts w:ascii="Times New Roman" w:hAnsi="Times New Roman" w:cs="Times New Roman"/>
        </w:rPr>
        <w:t>суммы и срок внесения – согласно п.3.3. настоящего Договора;</w:t>
      </w:r>
    </w:p>
    <w:p w:rsidR="00276FDB" w:rsidRPr="003B2D55" w:rsidRDefault="006724BC" w:rsidP="006724BC">
      <w:pPr>
        <w:pStyle w:val="a5"/>
        <w:jc w:val="both"/>
        <w:rPr>
          <w:rFonts w:ascii="Times New Roman" w:hAnsi="Times New Roman" w:cs="Times New Roman"/>
        </w:rPr>
      </w:pPr>
      <w:r w:rsidRPr="00E341B4">
        <w:rPr>
          <w:rFonts w:ascii="Times New Roman" w:hAnsi="Times New Roman" w:cs="Times New Roman"/>
        </w:rPr>
        <w:t xml:space="preserve">- срок условного депонирования – в срок до </w:t>
      </w:r>
      <w:r w:rsidR="00E341B4" w:rsidRPr="00E341B4">
        <w:rPr>
          <w:rFonts w:ascii="Times New Roman" w:hAnsi="Times New Roman" w:cs="Times New Roman"/>
        </w:rPr>
        <w:t>30.03.2027</w:t>
      </w:r>
      <w:r w:rsidRPr="00E341B4">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w:t>
      </w:r>
      <w:r w:rsidRPr="003B2D55">
        <w:rPr>
          <w:rFonts w:ascii="Times New Roman" w:hAnsi="Times New Roman" w:cs="Times New Roman"/>
        </w:rPr>
        <w:t xml:space="preserve"> дома, указанного в п.2.5. настоящего Договора;</w:t>
      </w:r>
    </w:p>
    <w:p w:rsidR="00276FDB" w:rsidRPr="003B2D55" w:rsidRDefault="00276FDB" w:rsidP="00276FDB">
      <w:pPr>
        <w:pStyle w:val="a5"/>
        <w:jc w:val="both"/>
        <w:rPr>
          <w:rFonts w:ascii="Times New Roman" w:hAnsi="Times New Roman" w:cs="Times New Roman"/>
        </w:rPr>
      </w:pPr>
      <w:r w:rsidRPr="003B2D55">
        <w:rPr>
          <w:rFonts w:ascii="Times New Roman" w:hAnsi="Times New Roman" w:cs="Times New Roman"/>
        </w:rPr>
        <w:t>- реквизиты для перечисления денежных средств со счета эскроу</w:t>
      </w:r>
      <w:r w:rsidR="00E62520" w:rsidRPr="003B2D55">
        <w:rPr>
          <w:rFonts w:ascii="Times New Roman" w:hAnsi="Times New Roman" w:cs="Times New Roman"/>
        </w:rPr>
        <w:t>:</w:t>
      </w:r>
    </w:p>
    <w:p w:rsidR="00CB2AEA" w:rsidRPr="003B2D55" w:rsidRDefault="00CB2AEA" w:rsidP="00CB2AEA">
      <w:pPr>
        <w:pStyle w:val="a5"/>
        <w:jc w:val="both"/>
        <w:rPr>
          <w:rFonts w:ascii="Times New Roman" w:hAnsi="Times New Roman" w:cs="Times New Roman"/>
          <w:u w:val="single"/>
          <w:shd w:val="clear" w:color="auto" w:fill="FFFFFF"/>
        </w:rPr>
      </w:pPr>
      <w:r w:rsidRPr="003B2D55">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8558B8" w:rsidRPr="005C63C7" w:rsidRDefault="000471A6" w:rsidP="008558B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Расчетный счет получателя: </w:t>
      </w:r>
      <w:r w:rsidR="008558B8" w:rsidRPr="005C63C7">
        <w:rPr>
          <w:rFonts w:ascii="Times New Roman" w:hAnsi="Times New Roman" w:cs="Times New Roman"/>
          <w:sz w:val="22"/>
          <w:szCs w:val="22"/>
        </w:rPr>
        <w:t>40702810752090002984</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Банк получателя: </w:t>
      </w:r>
      <w:r w:rsidRPr="00445911">
        <w:rPr>
          <w:rFonts w:ascii="Times New Roman" w:hAnsi="Times New Roman" w:cs="Times New Roman"/>
        </w:rPr>
        <w:t>ЮГО-ЗАПАДНЫЙ БАНК ПАО СБЕРБАНК, к/с 30101810600000000602, БИК 046015602</w:t>
      </w:r>
      <w:r w:rsidR="005C63C7">
        <w:rPr>
          <w:rFonts w:ascii="Times New Roman" w:hAnsi="Times New Roman" w:cs="Times New Roman"/>
        </w:rPr>
        <w:t xml:space="preserve">, </w:t>
      </w:r>
      <w:r w:rsidR="005C63C7" w:rsidRPr="00D20F43">
        <w:rPr>
          <w:rFonts w:ascii="Times New Roman" w:hAnsi="Times New Roman" w:cs="Times New Roman"/>
        </w:rPr>
        <w:t>ИНН 7707083893, КПП 616143002</w:t>
      </w:r>
      <w:r w:rsidRPr="003B2D55">
        <w:rPr>
          <w:rFonts w:ascii="Times New Roman" w:hAnsi="Times New Roman" w:cs="Times New Roman"/>
        </w:rPr>
        <w:t>;</w:t>
      </w:r>
    </w:p>
    <w:p w:rsidR="008558B8" w:rsidRPr="003B2D55" w:rsidRDefault="008558B8" w:rsidP="008558B8">
      <w:pPr>
        <w:pStyle w:val="a5"/>
        <w:jc w:val="both"/>
        <w:rPr>
          <w:rFonts w:ascii="Times New Roman" w:hAnsi="Times New Roman" w:cs="Times New Roman"/>
        </w:rPr>
      </w:pPr>
      <w:r w:rsidRPr="003B2D55">
        <w:rPr>
          <w:rFonts w:ascii="Times New Roman" w:hAnsi="Times New Roman" w:cs="Times New Roman"/>
        </w:rPr>
        <w:t xml:space="preserve">- эскроу-агент – </w:t>
      </w:r>
      <w:r w:rsidRPr="000C7FD6">
        <w:rPr>
          <w:rFonts w:ascii="Times New Roman" w:eastAsia="Calibri" w:hAnsi="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3B2D55">
        <w:rPr>
          <w:rFonts w:ascii="Times New Roman" w:hAnsi="Times New Roman" w:cs="Times New Roman"/>
        </w:rPr>
        <w:t>.</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0C7FD6">
        <w:rPr>
          <w:rFonts w:ascii="Times New Roman" w:eastAsia="Calibri" w:hAnsi="Times New Roman"/>
        </w:rPr>
        <w:t>ПАО Сбербанк</w:t>
      </w:r>
      <w:r w:rsidRPr="003B2D55">
        <w:rPr>
          <w:rFonts w:ascii="Times New Roman" w:hAnsi="Times New Roman" w:cs="Times New Roman"/>
        </w:rPr>
        <w:t xml:space="preserve"> в целях заключения Договора счета эскроу в соответствии с Общими условиями открытия и обслуживания счета эскроу, размещенными </w:t>
      </w:r>
      <w:r w:rsidRPr="00DC1612">
        <w:rPr>
          <w:rFonts w:ascii="Times New Roman" w:eastAsia="Calibri" w:hAnsi="Times New Roman" w:cs="Times New Roman"/>
        </w:rPr>
        <w:t>ПАО Сбербанк</w:t>
      </w:r>
      <w:r w:rsidRPr="00DC1612">
        <w:rPr>
          <w:rFonts w:ascii="Times New Roman" w:hAnsi="Times New Roman" w:cs="Times New Roman"/>
        </w:rPr>
        <w:t xml:space="preserve"> на официальном сайте </w:t>
      </w:r>
      <w:r w:rsidRPr="00DC1612">
        <w:rPr>
          <w:rFonts w:ascii="Times New Roman" w:hAnsi="Times New Roman" w:cs="Times New Roman"/>
          <w:bCs/>
          <w:shd w:val="clear" w:color="auto" w:fill="FFFFFF"/>
        </w:rPr>
        <w:t>http://sberbank.ru</w:t>
      </w:r>
      <w:r w:rsidRPr="00DC1612">
        <w:rPr>
          <w:rFonts w:ascii="Times New Roman" w:hAnsi="Times New Roman" w:cs="Times New Roman"/>
        </w:rPr>
        <w:t xml:space="preserve"> в сети Интернет, а также в подразделениях </w:t>
      </w:r>
      <w:r w:rsidRPr="00DC1612">
        <w:rPr>
          <w:rFonts w:ascii="Times New Roman" w:eastAsia="Calibri" w:hAnsi="Times New Roman"/>
        </w:rPr>
        <w:t>ПАО Сбербанк</w:t>
      </w:r>
      <w:r w:rsidRPr="003B2D55">
        <w:rPr>
          <w:rFonts w:ascii="Times New Roman" w:hAnsi="Times New Roman" w:cs="Times New Roman"/>
        </w:rPr>
        <w:t>, в которых осуществляется открытие счета эскроу, в доступном для размещения месте.</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3.5. Настоящим Застройщик уполномочивает Участника долевого строительства на представление последним в </w:t>
      </w:r>
      <w:r w:rsidRPr="000C7FD6">
        <w:rPr>
          <w:rFonts w:ascii="Times New Roman" w:eastAsia="Calibri" w:hAnsi="Times New Roman"/>
        </w:rPr>
        <w:t>ПАО Сбербанк</w:t>
      </w:r>
      <w:r w:rsidRPr="003B2D55">
        <w:rPr>
          <w:rFonts w:ascii="Times New Roman" w:hAnsi="Times New Roman" w:cs="Times New Roman"/>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0C7FD6">
        <w:rPr>
          <w:rFonts w:ascii="Times New Roman" w:eastAsia="Calibri" w:hAnsi="Times New Roman"/>
        </w:rPr>
        <w:t>ПАО Сбербанк</w:t>
      </w:r>
      <w:r w:rsidRPr="003B2D55">
        <w:rPr>
          <w:rFonts w:ascii="Times New Roman" w:hAnsi="Times New Roman" w:cs="Times New Roman"/>
        </w:rPr>
        <w:t>.</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документы, необходимые для заключения Договора счета эскроу.</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0C7FD6">
        <w:rPr>
          <w:rFonts w:ascii="Times New Roman" w:eastAsia="Calibri" w:hAnsi="Times New Roman"/>
        </w:rPr>
        <w:t>ПАО Сбербанк</w:t>
      </w:r>
      <w:r w:rsidRPr="003B2D55">
        <w:rPr>
          <w:rFonts w:ascii="Times New Roman" w:hAnsi="Times New Roman" w:cs="Times New Roman"/>
        </w:rPr>
        <w:t xml:space="preserve"> в соответствии с Общими условиями открытия и обслуживания счета эскроу».</w:t>
      </w:r>
    </w:p>
    <w:p w:rsidR="00276FDB" w:rsidRPr="003B2D55" w:rsidRDefault="008558B8" w:rsidP="008558B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0C7FD6">
        <w:rPr>
          <w:rFonts w:ascii="Times New Roman" w:eastAsia="Calibri" w:hAnsi="Times New Roman"/>
          <w:sz w:val="22"/>
          <w:szCs w:val="22"/>
        </w:rPr>
        <w:t>ПАО Сбербанк</w:t>
      </w:r>
      <w:r w:rsidRPr="003B2D55">
        <w:rPr>
          <w:rFonts w:ascii="Times New Roman" w:hAnsi="Times New Roman" w:cs="Times New Roman"/>
          <w:sz w:val="22"/>
          <w:szCs w:val="22"/>
        </w:rPr>
        <w:t xml:space="preserve"> счета </w:t>
      </w:r>
      <w:r w:rsidRPr="003B2D55">
        <w:rPr>
          <w:rFonts w:ascii="Times New Roman" w:hAnsi="Times New Roman" w:cs="Times New Roman"/>
          <w:sz w:val="22"/>
          <w:szCs w:val="22"/>
        </w:rPr>
        <w:lastRenderedPageBreak/>
        <w:t>эскроу, о чем они будут уведомлены в порядке, установленном Общими условиями открытия и обслуживания счета эскроу</w:t>
      </w:r>
      <w:r w:rsidR="00276FDB" w:rsidRPr="003B2D55">
        <w:rPr>
          <w:rFonts w:ascii="Times New Roman" w:hAnsi="Times New Roman" w:cs="Times New Roman"/>
          <w:sz w:val="22"/>
          <w:szCs w:val="22"/>
        </w:rPr>
        <w:t>.</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0" w:name="dst271"/>
      <w:bookmarkEnd w:id="0"/>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921F4C" w:rsidRPr="00921F4C" w:rsidRDefault="00921F4C"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921F4C">
        <w:trPr>
          <w:trHeight w:val="847"/>
        </w:trPr>
        <w:tc>
          <w:tcPr>
            <w:tcW w:w="1276" w:type="dxa"/>
            <w:shd w:val="clear" w:color="auto" w:fill="auto"/>
          </w:tcPr>
          <w:p w:rsidR="00921F4C" w:rsidRPr="00921F4C" w:rsidRDefault="00921F4C" w:rsidP="00921F4C">
            <w:pPr>
              <w:pStyle w:val="a5"/>
              <w:jc w:val="center"/>
              <w:rPr>
                <w:rFonts w:ascii="Times New Roman" w:hAnsi="Times New Roman" w:cs="Times New Roman"/>
              </w:rPr>
            </w:pPr>
            <w:bookmarkStart w:id="1" w:name="_Hlk99713624"/>
            <w:r w:rsidRPr="00921F4C">
              <w:rPr>
                <w:rFonts w:ascii="Times New Roman" w:hAnsi="Times New Roman" w:cs="Times New Roman"/>
              </w:rPr>
              <w:lastRenderedPageBreak/>
              <w:t>Условный номер</w:t>
            </w:r>
          </w:p>
        </w:tc>
        <w:tc>
          <w:tcPr>
            <w:tcW w:w="1418"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921F4C">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921F4C">
        <w:trPr>
          <w:trHeight w:val="412"/>
        </w:trPr>
        <w:tc>
          <w:tcPr>
            <w:tcW w:w="1276" w:type="dxa"/>
            <w:shd w:val="clear" w:color="auto" w:fill="auto"/>
            <w:vAlign w:val="center"/>
          </w:tcPr>
          <w:p w:rsidR="00921F4C" w:rsidRPr="00921F4C" w:rsidRDefault="00921F4C" w:rsidP="00921F4C">
            <w:pPr>
              <w:pStyle w:val="a5"/>
              <w:rPr>
                <w:rFonts w:ascii="Times New Roman" w:hAnsi="Times New Roman" w:cs="Times New Roman"/>
              </w:rPr>
            </w:pPr>
          </w:p>
        </w:tc>
        <w:tc>
          <w:tcPr>
            <w:tcW w:w="1418" w:type="dxa"/>
            <w:shd w:val="clear" w:color="auto" w:fill="auto"/>
            <w:vAlign w:val="center"/>
          </w:tcPr>
          <w:p w:rsidR="00921F4C" w:rsidRPr="00921F4C" w:rsidRDefault="00921F4C" w:rsidP="00921F4C">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c>
          <w:tcPr>
            <w:tcW w:w="1416" w:type="dxa"/>
            <w:shd w:val="clear" w:color="auto" w:fill="auto"/>
            <w:vAlign w:val="center"/>
          </w:tcPr>
          <w:p w:rsidR="00921F4C" w:rsidRPr="00921F4C" w:rsidRDefault="00921F4C" w:rsidP="00921F4C">
            <w:pPr>
              <w:pStyle w:val="a5"/>
              <w:rPr>
                <w:rFonts w:ascii="Times New Roman" w:hAnsi="Times New Roman" w:cs="Times New Roman"/>
              </w:rPr>
            </w:pPr>
          </w:p>
        </w:tc>
        <w:tc>
          <w:tcPr>
            <w:tcW w:w="2553"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r>
      <w:bookmarkEnd w:id="1"/>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2D4912">
        <w:rPr>
          <w:rFonts w:ascii="Times New Roman" w:hAnsi="Times New Roman" w:cs="Times New Roman"/>
          <w:bCs/>
        </w:rPr>
        <w:t>30</w:t>
      </w:r>
      <w:r w:rsidR="005C1B45" w:rsidRPr="003B2D55">
        <w:rPr>
          <w:rFonts w:ascii="Times New Roman" w:hAnsi="Times New Roman" w:cs="Times New Roman"/>
          <w:bCs/>
        </w:rPr>
        <w:t>.</w:t>
      </w:r>
      <w:r w:rsidR="002D4912">
        <w:rPr>
          <w:rFonts w:ascii="Times New Roman" w:hAnsi="Times New Roman" w:cs="Times New Roman"/>
          <w:bCs/>
        </w:rPr>
        <w:t>10</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EA3E83">
      <w:pPr>
        <w:pStyle w:val="a5"/>
        <w:ind w:firstLine="567"/>
        <w:jc w:val="both"/>
        <w:rPr>
          <w:rFonts w:ascii="Times New Roman" w:hAnsi="Times New Roman" w:cs="Times New Roman"/>
          <w:bCs/>
        </w:rPr>
      </w:pPr>
      <w:r w:rsidRPr="004F3878">
        <w:rPr>
          <w:rFonts w:ascii="Times New Roman" w:hAnsi="Times New Roman" w:cs="Times New Roman"/>
        </w:rPr>
        <w:t xml:space="preserve">- </w:t>
      </w:r>
      <w:r w:rsidR="002704FA" w:rsidRPr="002F0B91">
        <w:rPr>
          <w:rFonts w:ascii="Times New Roman" w:hAnsi="Times New Roman" w:cs="Times New Roman"/>
        </w:rPr>
        <w:t xml:space="preserve">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выбранный Участником долевого строительства способ </w:t>
      </w:r>
      <w:r w:rsidR="002704FA" w:rsidRPr="002F0B91">
        <w:rPr>
          <w:rFonts w:ascii="Times New Roman" w:hAnsi="Times New Roman" w:cs="Times New Roman"/>
        </w:rPr>
        <w:lastRenderedPageBreak/>
        <w:t>восстановления нарушенных прав, предусмотренный п.2 ст.7 214-ФЗ (безвозмездное устранение недостатков в разумный срок; соразмерное уменьшение цены договора; возмещение расходов на устранение недостатков), сроки устранения выявленных недостатков</w:t>
      </w:r>
      <w:r w:rsidRPr="004F3878">
        <w:rPr>
          <w:rFonts w:ascii="Times New Roman" w:hAnsi="Times New Roman" w:cs="Times New Roman"/>
        </w:rPr>
        <w:t>.</w:t>
      </w:r>
    </w:p>
    <w:p w:rsidR="001A5780" w:rsidRPr="005B1B18" w:rsidRDefault="00613390" w:rsidP="001A578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1A5780"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1A5780"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1A5780"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1A5780" w:rsidRPr="005B1B18">
        <w:rPr>
          <w:rFonts w:ascii="Times New Roman" w:hAnsi="Times New Roman" w:cs="Times New Roman"/>
          <w:sz w:val="22"/>
          <w:szCs w:val="22"/>
        </w:rPr>
        <w:t xml:space="preserve"> составляет односторонний акт о передаче Объекта долевого строительства с указанием на эти обстоятельства.</w:t>
      </w:r>
    </w:p>
    <w:p w:rsidR="001A5780" w:rsidRPr="003B2D55" w:rsidRDefault="001A5780" w:rsidP="001A578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757CFA"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 xml:space="preserve">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w:t>
      </w:r>
      <w:r w:rsidR="000F7E82" w:rsidRPr="00757CFA">
        <w:rPr>
          <w:rFonts w:ascii="Times New Roman" w:hAnsi="Times New Roman" w:cs="Times New Roman"/>
          <w:bCs/>
          <w:sz w:val="22"/>
          <w:szCs w:val="22"/>
        </w:rPr>
        <w:t>Участника долевого строительства и за счет его средств.</w:t>
      </w:r>
    </w:p>
    <w:p w:rsidR="004C4B99" w:rsidRPr="00757CFA" w:rsidRDefault="00613390" w:rsidP="00FD3F3D">
      <w:pPr>
        <w:pStyle w:val="ConsNormal"/>
        <w:widowControl/>
        <w:ind w:firstLine="709"/>
        <w:jc w:val="both"/>
        <w:rPr>
          <w:rFonts w:ascii="Times New Roman" w:hAnsi="Times New Roman" w:cs="Times New Roman"/>
          <w:bCs/>
          <w:sz w:val="22"/>
          <w:szCs w:val="22"/>
        </w:rPr>
      </w:pPr>
      <w:r w:rsidRPr="00757CFA">
        <w:rPr>
          <w:rFonts w:ascii="Times New Roman" w:hAnsi="Times New Roman" w:cs="Times New Roman"/>
          <w:bCs/>
          <w:sz w:val="22"/>
          <w:szCs w:val="22"/>
        </w:rPr>
        <w:t>5</w:t>
      </w:r>
      <w:r w:rsidR="004C4B99" w:rsidRPr="00757CFA">
        <w:rPr>
          <w:rFonts w:ascii="Times New Roman" w:hAnsi="Times New Roman" w:cs="Times New Roman"/>
          <w:bCs/>
          <w:sz w:val="22"/>
          <w:szCs w:val="22"/>
        </w:rPr>
        <w:t>.</w:t>
      </w:r>
      <w:r w:rsidR="00E97580" w:rsidRPr="00757CFA">
        <w:rPr>
          <w:rFonts w:ascii="Times New Roman" w:hAnsi="Times New Roman" w:cs="Times New Roman"/>
          <w:bCs/>
          <w:sz w:val="22"/>
          <w:szCs w:val="22"/>
        </w:rPr>
        <w:t>1</w:t>
      </w:r>
      <w:r w:rsidR="003B06D9" w:rsidRPr="00757CFA">
        <w:rPr>
          <w:rFonts w:ascii="Times New Roman" w:hAnsi="Times New Roman" w:cs="Times New Roman"/>
          <w:bCs/>
          <w:sz w:val="22"/>
          <w:szCs w:val="22"/>
        </w:rPr>
        <w:t>1</w:t>
      </w:r>
      <w:r w:rsidR="004C4B99" w:rsidRPr="00757CFA">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r w:rsidR="00757CFA" w:rsidRPr="00757CFA">
        <w:rPr>
          <w:rFonts w:ascii="Times New Roman" w:hAnsi="Times New Roman" w:cs="Times New Roman"/>
          <w:bCs/>
          <w:sz w:val="22"/>
          <w:szCs w:val="22"/>
        </w:rPr>
        <w:t xml:space="preserve"> </w:t>
      </w:r>
      <w:r w:rsidR="00757CFA" w:rsidRPr="00757CFA">
        <w:rPr>
          <w:rFonts w:ascii="Times New Roman" w:hAnsi="Times New Roman" w:cs="Times New Roman"/>
          <w:sz w:val="22"/>
          <w:szCs w:val="22"/>
          <w:shd w:val="clear" w:color="auto" w:fill="FFFFFF"/>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bookmarkStart w:id="2" w:name="_GoBack"/>
      <w:bookmarkEnd w:id="2"/>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w:t>
      </w:r>
      <w:r w:rsidR="00DE4791" w:rsidRPr="003B2D55">
        <w:rPr>
          <w:rFonts w:ascii="Times New Roman" w:hAnsi="Times New Roman" w:cs="Times New Roman"/>
          <w:color w:val="000000"/>
          <w:sz w:val="22"/>
          <w:szCs w:val="22"/>
          <w:shd w:val="clear" w:color="auto" w:fill="FFFFFF"/>
        </w:rPr>
        <w:lastRenderedPageBreak/>
        <w:t>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505886">
        <w:rPr>
          <w:rFonts w:ascii="Times New Roman" w:eastAsia="Calibri" w:hAnsi="Times New Roman"/>
        </w:rPr>
        <w:t>ПАО Сбербанк</w:t>
      </w:r>
      <w:r w:rsidR="00752B68" w:rsidRPr="003B2D55">
        <w:rPr>
          <w:rFonts w:ascii="Times New Roman" w:hAnsi="Times New Roman" w:cs="Times New Roman"/>
        </w:rPr>
        <w:t>.</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 xml:space="preserve">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w:t>
      </w:r>
      <w:r w:rsidR="00263D91" w:rsidRPr="003B2D55">
        <w:rPr>
          <w:rFonts w:ascii="Times New Roman" w:hAnsi="Times New Roman" w:cs="Times New Roman"/>
          <w:sz w:val="22"/>
          <w:szCs w:val="22"/>
        </w:rPr>
        <w:lastRenderedPageBreak/>
        <w:t>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624194" w:rsidRPr="00B8256A" w:rsidRDefault="00613390" w:rsidP="00624194">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624194" w:rsidRPr="003B2D55">
        <w:rPr>
          <w:rFonts w:ascii="Times New Roman" w:hAnsi="Times New Roman" w:cs="Times New Roman"/>
          <w:sz w:val="22"/>
          <w:szCs w:val="22"/>
        </w:rPr>
        <w:t>Застройщик имеет право изменить проектную документацию строящегося Объекта недвижимости, а также произвести изменения в Объекте недвижимости</w:t>
      </w:r>
      <w:r w:rsidR="00624194">
        <w:rPr>
          <w:rFonts w:ascii="Times New Roman" w:hAnsi="Times New Roman" w:cs="Times New Roman"/>
          <w:sz w:val="22"/>
          <w:szCs w:val="22"/>
        </w:rPr>
        <w:t>,</w:t>
      </w:r>
      <w:r w:rsidR="00624194" w:rsidRPr="00AF30AD">
        <w:rPr>
          <w:rFonts w:ascii="Times New Roman" w:hAnsi="Times New Roman" w:cs="Times New Roman"/>
          <w:sz w:val="22"/>
          <w:szCs w:val="22"/>
        </w:rPr>
        <w:t xml:space="preserve"> </w:t>
      </w:r>
      <w:r w:rsidR="00624194" w:rsidRPr="003B2D55">
        <w:rPr>
          <w:rFonts w:ascii="Times New Roman" w:hAnsi="Times New Roman" w:cs="Times New Roman"/>
          <w:sz w:val="22"/>
          <w:szCs w:val="22"/>
        </w:rPr>
        <w:t>при условии их согласования с соответствующими государственными органами и организациями</w:t>
      </w:r>
      <w:r w:rsidR="00624194">
        <w:rPr>
          <w:rFonts w:ascii="Times New Roman" w:hAnsi="Times New Roman" w:cs="Times New Roman"/>
          <w:sz w:val="22"/>
          <w:szCs w:val="22"/>
        </w:rPr>
        <w:t xml:space="preserve">, а также </w:t>
      </w:r>
      <w:r w:rsidR="00624194" w:rsidRPr="003B2D55">
        <w:rPr>
          <w:rFonts w:ascii="Times New Roman" w:hAnsi="Times New Roman" w:cs="Times New Roman"/>
          <w:sz w:val="22"/>
          <w:szCs w:val="22"/>
        </w:rPr>
        <w:t xml:space="preserve">с </w:t>
      </w:r>
      <w:r w:rsidR="00624194" w:rsidRPr="003B2D55">
        <w:rPr>
          <w:rFonts w:ascii="Times New Roman" w:hAnsi="Times New Roman" w:cs="Times New Roman"/>
          <w:bCs/>
          <w:sz w:val="22"/>
          <w:szCs w:val="22"/>
        </w:rPr>
        <w:t>Участником долевого строительства</w:t>
      </w:r>
      <w:r w:rsidR="00624194">
        <w:rPr>
          <w:rFonts w:ascii="Times New Roman" w:hAnsi="Times New Roman" w:cs="Times New Roman"/>
          <w:bCs/>
          <w:sz w:val="22"/>
          <w:szCs w:val="22"/>
        </w:rPr>
        <w:t xml:space="preserve"> (путем оформления соответствующего дополнительного соглашения)</w:t>
      </w:r>
      <w:r w:rsidR="00624194" w:rsidRPr="003B2D55">
        <w:rPr>
          <w:rFonts w:ascii="Times New Roman" w:hAnsi="Times New Roman" w:cs="Times New Roman"/>
          <w:sz w:val="22"/>
          <w:szCs w:val="22"/>
        </w:rPr>
        <w:t xml:space="preserve">, </w:t>
      </w:r>
      <w:r w:rsidR="00624194">
        <w:rPr>
          <w:rFonts w:ascii="Times New Roman" w:hAnsi="Times New Roman" w:cs="Times New Roman"/>
          <w:sz w:val="22"/>
          <w:szCs w:val="22"/>
        </w:rPr>
        <w:t xml:space="preserve">если такие изменения проектной документации приводят к изменению существенных условий </w:t>
      </w:r>
      <w:r w:rsidR="00624194" w:rsidRPr="003B2D55">
        <w:rPr>
          <w:rFonts w:ascii="Times New Roman" w:hAnsi="Times New Roman" w:cs="Times New Roman"/>
          <w:sz w:val="22"/>
          <w:szCs w:val="22"/>
        </w:rPr>
        <w:t>настоящего Договора</w:t>
      </w:r>
      <w:r w:rsidR="00624194">
        <w:rPr>
          <w:rFonts w:ascii="Times New Roman" w:hAnsi="Times New Roman" w:cs="Times New Roman"/>
          <w:sz w:val="22"/>
          <w:szCs w:val="22"/>
        </w:rPr>
        <w:t>, либо</w:t>
      </w:r>
      <w:r w:rsidR="00624194" w:rsidRPr="003B2D55">
        <w:rPr>
          <w:rFonts w:ascii="Times New Roman" w:hAnsi="Times New Roman" w:cs="Times New Roman"/>
          <w:sz w:val="22"/>
          <w:szCs w:val="22"/>
        </w:rPr>
        <w:t xml:space="preserve"> без такого согласования, если это не требуется в соответствии с законодательством Российской Федерации</w:t>
      </w:r>
      <w:r w:rsidR="00624194">
        <w:rPr>
          <w:rFonts w:ascii="Times New Roman" w:hAnsi="Times New Roman" w:cs="Times New Roman"/>
          <w:sz w:val="22"/>
          <w:szCs w:val="22"/>
        </w:rPr>
        <w:t>.</w:t>
      </w:r>
    </w:p>
    <w:p w:rsidR="00624194" w:rsidRDefault="00624194" w:rsidP="00624194">
      <w:pPr>
        <w:pStyle w:val="ConsNormal"/>
        <w:widowControl/>
        <w:ind w:firstLine="708"/>
        <w:jc w:val="both"/>
        <w:rPr>
          <w:rFonts w:ascii="Times New Roman" w:hAnsi="Times New Roman" w:cs="Times New Roman"/>
          <w:sz w:val="22"/>
          <w:szCs w:val="22"/>
        </w:rPr>
      </w:pPr>
      <w:r>
        <w:rPr>
          <w:rFonts w:ascii="Times New Roman" w:hAnsi="Times New Roman" w:cs="Times New Roman"/>
          <w:sz w:val="22"/>
          <w:szCs w:val="22"/>
        </w:rPr>
        <w:t>И</w:t>
      </w:r>
      <w:r w:rsidRPr="003B2D55">
        <w:rPr>
          <w:rFonts w:ascii="Times New Roman" w:hAnsi="Times New Roman" w:cs="Times New Roman"/>
          <w:sz w:val="22"/>
          <w:szCs w:val="22"/>
        </w:rPr>
        <w:t>змен</w:t>
      </w:r>
      <w:r>
        <w:rPr>
          <w:rFonts w:ascii="Times New Roman" w:hAnsi="Times New Roman" w:cs="Times New Roman"/>
          <w:sz w:val="22"/>
          <w:szCs w:val="22"/>
        </w:rPr>
        <w:t>ен</w:t>
      </w:r>
      <w:r w:rsidRPr="003B2D55">
        <w:rPr>
          <w:rFonts w:ascii="Times New Roman" w:hAnsi="Times New Roman" w:cs="Times New Roman"/>
          <w:sz w:val="22"/>
          <w:szCs w:val="22"/>
        </w:rPr>
        <w:t>и</w:t>
      </w:r>
      <w:r>
        <w:rPr>
          <w:rFonts w:ascii="Times New Roman" w:hAnsi="Times New Roman" w:cs="Times New Roman"/>
          <w:sz w:val="22"/>
          <w:szCs w:val="22"/>
        </w:rPr>
        <w:t>я</w:t>
      </w:r>
      <w:r w:rsidRPr="003B2D55">
        <w:rPr>
          <w:rFonts w:ascii="Times New Roman" w:hAnsi="Times New Roman" w:cs="Times New Roman"/>
          <w:sz w:val="22"/>
          <w:szCs w:val="22"/>
        </w:rPr>
        <w:t xml:space="preserve"> проектн</w:t>
      </w:r>
      <w:r>
        <w:rPr>
          <w:rFonts w:ascii="Times New Roman" w:hAnsi="Times New Roman" w:cs="Times New Roman"/>
          <w:sz w:val="22"/>
          <w:szCs w:val="22"/>
        </w:rPr>
        <w:t>ой</w:t>
      </w:r>
      <w:r w:rsidRPr="003B2D55">
        <w:rPr>
          <w:rFonts w:ascii="Times New Roman" w:hAnsi="Times New Roman" w:cs="Times New Roman"/>
          <w:sz w:val="22"/>
          <w:szCs w:val="22"/>
        </w:rPr>
        <w:t xml:space="preserve"> документаци</w:t>
      </w:r>
      <w:r>
        <w:rPr>
          <w:rFonts w:ascii="Times New Roman" w:hAnsi="Times New Roman" w:cs="Times New Roman"/>
          <w:sz w:val="22"/>
          <w:szCs w:val="22"/>
        </w:rPr>
        <w:t>и</w:t>
      </w:r>
      <w:r w:rsidRPr="003B2D55">
        <w:rPr>
          <w:rFonts w:ascii="Times New Roman" w:hAnsi="Times New Roman" w:cs="Times New Roman"/>
          <w:sz w:val="22"/>
          <w:szCs w:val="22"/>
        </w:rPr>
        <w:t xml:space="preserve"> строящегося Объекта недвижимости</w:t>
      </w:r>
      <w:r>
        <w:rPr>
          <w:rFonts w:ascii="Times New Roman" w:hAnsi="Times New Roman" w:cs="Times New Roman"/>
          <w:sz w:val="22"/>
          <w:szCs w:val="22"/>
        </w:rPr>
        <w:t xml:space="preserve">, не приводящие к изменению существенных условий </w:t>
      </w:r>
      <w:r w:rsidRPr="003B2D55">
        <w:rPr>
          <w:rFonts w:ascii="Times New Roman" w:hAnsi="Times New Roman" w:cs="Times New Roman"/>
          <w:sz w:val="22"/>
          <w:szCs w:val="22"/>
        </w:rPr>
        <w:t>настоящего Договора</w:t>
      </w:r>
      <w:r>
        <w:rPr>
          <w:rFonts w:ascii="Times New Roman" w:hAnsi="Times New Roman" w:cs="Times New Roman"/>
          <w:sz w:val="22"/>
          <w:szCs w:val="22"/>
        </w:rPr>
        <w:t>, производятся</w:t>
      </w:r>
      <w:r w:rsidRPr="003B2D55">
        <w:rPr>
          <w:rFonts w:ascii="Times New Roman" w:hAnsi="Times New Roman" w:cs="Times New Roman"/>
          <w:sz w:val="22"/>
          <w:szCs w:val="22"/>
        </w:rPr>
        <w:t xml:space="preserve"> без их согласования с </w:t>
      </w:r>
      <w:r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w:t>
      </w:r>
      <w:r>
        <w:rPr>
          <w:rFonts w:ascii="Times New Roman" w:hAnsi="Times New Roman" w:cs="Times New Roman"/>
          <w:sz w:val="22"/>
          <w:szCs w:val="22"/>
        </w:rPr>
        <w:t xml:space="preserve"> </w:t>
      </w:r>
      <w:r w:rsidRPr="003B2D55">
        <w:rPr>
          <w:rFonts w:ascii="Times New Roman" w:hAnsi="Times New Roman" w:cs="Times New Roman"/>
          <w:sz w:val="22"/>
          <w:szCs w:val="22"/>
        </w:rPr>
        <w:t>при условии их согласования с соответствующими государственными органами и организациями</w:t>
      </w:r>
      <w:r>
        <w:rPr>
          <w:rFonts w:ascii="Times New Roman" w:hAnsi="Times New Roman" w:cs="Times New Roman"/>
          <w:sz w:val="22"/>
          <w:szCs w:val="22"/>
        </w:rPr>
        <w:t>, либо</w:t>
      </w:r>
      <w:r w:rsidRPr="003B2D55">
        <w:rPr>
          <w:rFonts w:ascii="Times New Roman" w:hAnsi="Times New Roman" w:cs="Times New Roman"/>
          <w:sz w:val="22"/>
          <w:szCs w:val="22"/>
        </w:rPr>
        <w:t xml:space="preserve"> без такого согласования, если это не требуется в соответствии с законодательством Российской Федерации</w:t>
      </w:r>
      <w:r>
        <w:rPr>
          <w:rFonts w:ascii="Times New Roman" w:hAnsi="Times New Roman" w:cs="Times New Roman"/>
          <w:sz w:val="22"/>
          <w:szCs w:val="22"/>
        </w:rPr>
        <w:t>.</w:t>
      </w:r>
    </w:p>
    <w:p w:rsidR="00475B13" w:rsidRPr="003B2D55" w:rsidRDefault="00624194" w:rsidP="00624194">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 xml:space="preserve">О всех изменениях, внесенных в проектную документацию Застройщик информирует </w:t>
      </w:r>
      <w:r w:rsidRPr="003B2D55">
        <w:rPr>
          <w:rFonts w:ascii="Times New Roman" w:hAnsi="Times New Roman" w:cs="Times New Roman"/>
          <w:bCs/>
          <w:sz w:val="22"/>
          <w:szCs w:val="22"/>
        </w:rPr>
        <w:t>Участника долевого строительства</w:t>
      </w:r>
      <w:r w:rsidRPr="003B2D55">
        <w:rPr>
          <w:rFonts w:ascii="Times New Roman" w:hAnsi="Times New Roman" w:cs="Times New Roman"/>
          <w:sz w:val="22"/>
          <w:szCs w:val="22"/>
        </w:rPr>
        <w:t xml:space="preserve"> путем внесения изменений в проектную декларацию</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BA78BB">
        <w:rPr>
          <w:rFonts w:ascii="Times New Roman" w:hAnsi="Times New Roman" w:cs="Times New Roman"/>
          <w:sz w:val="22"/>
          <w:szCs w:val="22"/>
        </w:rPr>
        <w:t>7</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BA78BB">
        <w:rPr>
          <w:rFonts w:ascii="Times New Roman" w:hAnsi="Times New Roman" w:cs="Times New Roman"/>
        </w:rPr>
        <w:t>8</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w:t>
      </w:r>
      <w:r w:rsidR="004B2FA4" w:rsidRPr="003B2D55">
        <w:rPr>
          <w:rFonts w:ascii="Times New Roman" w:hAnsi="Times New Roman" w:cs="Times New Roman"/>
        </w:rPr>
        <w:lastRenderedPageBreak/>
        <w:t xml:space="preserve">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E24317" w:rsidRPr="003B2D55">
        <w:rPr>
          <w:rFonts w:ascii="Times New Roman" w:hAnsi="Times New Roman" w:cs="Times New Roman"/>
        </w:rPr>
        <w:t>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договора, и подписания Сторонами 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9424A7" w:rsidRPr="006D2F1C" w:rsidRDefault="00511E1E" w:rsidP="009424A7">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9424A7"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9424A7" w:rsidRPr="003B2D55">
        <w:rPr>
          <w:rFonts w:ascii="Times New Roman" w:hAnsi="Times New Roman" w:cs="Times New Roman"/>
          <w:bCs/>
          <w:sz w:val="22"/>
          <w:szCs w:val="22"/>
        </w:rPr>
        <w:t xml:space="preserve">Участник долевого строительства уплачивает Застройщику неустойку (пени) в размере одной трехсотой ставки </w:t>
      </w:r>
      <w:r w:rsidR="009424A7" w:rsidRPr="006D2F1C">
        <w:rPr>
          <w:rFonts w:ascii="Times New Roman" w:hAnsi="Times New Roman" w:cs="Times New Roman"/>
          <w:bCs/>
          <w:sz w:val="22"/>
          <w:szCs w:val="22"/>
        </w:rPr>
        <w:t>рефинансирования ЦБ РФ, действующей на день исполнения обязательства, от суммы просроченного платежа за каждый день просрочки.</w:t>
      </w:r>
    </w:p>
    <w:p w:rsidR="009424A7" w:rsidRPr="006D2F1C" w:rsidRDefault="009424A7" w:rsidP="009424A7">
      <w:pPr>
        <w:pStyle w:val="ConsNormal"/>
        <w:widowControl/>
        <w:ind w:firstLine="709"/>
        <w:jc w:val="both"/>
        <w:rPr>
          <w:rFonts w:ascii="Times New Roman" w:hAnsi="Times New Roman" w:cs="Times New Roman"/>
          <w:bCs/>
          <w:sz w:val="22"/>
          <w:szCs w:val="22"/>
        </w:rPr>
      </w:pPr>
      <w:r w:rsidRPr="006D2F1C">
        <w:rPr>
          <w:rFonts w:ascii="Times New Roman" w:hAnsi="Times New Roman" w:cs="Times New Roman"/>
          <w:sz w:val="22"/>
          <w:szCs w:val="22"/>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6D2F1C">
        <w:rPr>
          <w:rFonts w:ascii="Times New Roman" w:hAnsi="Times New Roman" w:cs="Times New Roman"/>
          <w:bCs/>
          <w:sz w:val="22"/>
          <w:szCs w:val="22"/>
        </w:rPr>
        <w:t>.</w:t>
      </w:r>
    </w:p>
    <w:p w:rsidR="00C43044" w:rsidRPr="003B2D55" w:rsidRDefault="009424A7" w:rsidP="009424A7">
      <w:pPr>
        <w:pStyle w:val="ConsNormal"/>
        <w:widowControl/>
        <w:ind w:firstLine="709"/>
        <w:jc w:val="both"/>
        <w:rPr>
          <w:rFonts w:ascii="Times New Roman" w:hAnsi="Times New Roman" w:cs="Times New Roman"/>
          <w:sz w:val="22"/>
          <w:szCs w:val="22"/>
        </w:rPr>
      </w:pPr>
      <w:r w:rsidRPr="006D2F1C">
        <w:rPr>
          <w:rFonts w:ascii="Times New Roman" w:hAnsi="Times New Roman" w:cs="Times New Roman"/>
          <w:sz w:val="22"/>
          <w:szCs w:val="22"/>
          <w:shd w:val="clear" w:color="auto" w:fill="FFFFFF"/>
        </w:rPr>
        <w:t xml:space="preserve">В случае, если в соответствии с </w:t>
      </w:r>
      <w:r>
        <w:rPr>
          <w:rFonts w:ascii="Times New Roman" w:hAnsi="Times New Roman" w:cs="Times New Roman"/>
          <w:sz w:val="22"/>
          <w:szCs w:val="22"/>
          <w:shd w:val="clear" w:color="auto" w:fill="FFFFFF"/>
        </w:rPr>
        <w:t>условиями настоящего Д</w:t>
      </w:r>
      <w:r w:rsidRPr="006D2F1C">
        <w:rPr>
          <w:rFonts w:ascii="Times New Roman" w:hAnsi="Times New Roman" w:cs="Times New Roman"/>
          <w:sz w:val="22"/>
          <w:szCs w:val="22"/>
          <w:shd w:val="clear" w:color="auto" w:fill="FFFFFF"/>
        </w:rPr>
        <w:t>оговор</w:t>
      </w:r>
      <w:r>
        <w:rPr>
          <w:rFonts w:ascii="Times New Roman" w:hAnsi="Times New Roman" w:cs="Times New Roman"/>
          <w:sz w:val="22"/>
          <w:szCs w:val="22"/>
          <w:shd w:val="clear" w:color="auto" w:fill="FFFFFF"/>
        </w:rPr>
        <w:t>а</w:t>
      </w:r>
      <w:r w:rsidRPr="006D2F1C">
        <w:rPr>
          <w:rFonts w:ascii="Times New Roman" w:hAnsi="Times New Roman" w:cs="Times New Roman"/>
          <w:sz w:val="22"/>
          <w:szCs w:val="22"/>
          <w:shd w:val="clear" w:color="auto" w:fill="FFFFFF"/>
        </w:rPr>
        <w:t xml:space="preserve"> уплата </w:t>
      </w:r>
      <w:r>
        <w:rPr>
          <w:rFonts w:ascii="Times New Roman" w:hAnsi="Times New Roman" w:cs="Times New Roman"/>
          <w:sz w:val="22"/>
          <w:szCs w:val="22"/>
          <w:shd w:val="clear" w:color="auto" w:fill="FFFFFF"/>
        </w:rPr>
        <w:t>Ц</w:t>
      </w:r>
      <w:r w:rsidRPr="006D2F1C">
        <w:rPr>
          <w:rFonts w:ascii="Times New Roman" w:hAnsi="Times New Roman" w:cs="Times New Roman"/>
          <w:sz w:val="22"/>
          <w:szCs w:val="22"/>
          <w:shd w:val="clear" w:color="auto" w:fill="FFFFFF"/>
        </w:rPr>
        <w:t xml:space="preserve">ены договора должна производиться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путем внесения платежей в предусмотренный </w:t>
      </w:r>
      <w:r>
        <w:rPr>
          <w:rFonts w:ascii="Times New Roman" w:hAnsi="Times New Roman" w:cs="Times New Roman"/>
          <w:sz w:val="22"/>
          <w:szCs w:val="22"/>
          <w:shd w:val="clear" w:color="auto" w:fill="FFFFFF"/>
        </w:rPr>
        <w:t>настоящим Д</w:t>
      </w:r>
      <w:r w:rsidRPr="006D2F1C">
        <w:rPr>
          <w:rFonts w:ascii="Times New Roman" w:hAnsi="Times New Roman" w:cs="Times New Roman"/>
          <w:sz w:val="22"/>
          <w:szCs w:val="22"/>
          <w:shd w:val="clear" w:color="auto" w:fill="FFFFFF"/>
        </w:rPr>
        <w:t xml:space="preserve">оговором период, систематическое нарушение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sz w:val="22"/>
          <w:szCs w:val="22"/>
          <w:shd w:val="clear" w:color="auto" w:fill="FFFFFF"/>
        </w:rPr>
        <w:t>З</w:t>
      </w:r>
      <w:r w:rsidRPr="006D2F1C">
        <w:rPr>
          <w:rFonts w:ascii="Times New Roman" w:hAnsi="Times New Roman" w:cs="Times New Roman"/>
          <w:sz w:val="22"/>
          <w:szCs w:val="22"/>
          <w:shd w:val="clear" w:color="auto" w:fill="FFFFFF"/>
        </w:rPr>
        <w:t>астройщика</w:t>
      </w:r>
      <w:r>
        <w:rPr>
          <w:rFonts w:ascii="Times New Roman" w:hAnsi="Times New Roman" w:cs="Times New Roman"/>
          <w:sz w:val="22"/>
          <w:szCs w:val="22"/>
          <w:shd w:val="clear" w:color="auto" w:fill="FFFFFF"/>
        </w:rPr>
        <w:t>.</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w:t>
      </w:r>
      <w:r w:rsidRPr="003B2D55">
        <w:rPr>
          <w:rFonts w:ascii="Times New Roman" w:hAnsi="Times New Roman" w:cs="Times New Roman"/>
          <w:color w:val="000000"/>
          <w:sz w:val="22"/>
          <w:szCs w:val="22"/>
          <w:shd w:val="clear" w:color="auto" w:fill="FFFFFF"/>
        </w:rPr>
        <w:lastRenderedPageBreak/>
        <w:t xml:space="preserve">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w:t>
      </w:r>
      <w:r w:rsidR="00757CFA">
        <w:rPr>
          <w:rFonts w:ascii="Times New Roman" w:hAnsi="Times New Roman" w:cs="Times New Roman"/>
        </w:rPr>
        <w:t xml:space="preserve"> 5.11.,</w:t>
      </w:r>
      <w:r w:rsidR="00FF5E49" w:rsidRPr="003B2D55">
        <w:rPr>
          <w:rFonts w:ascii="Times New Roman" w:hAnsi="Times New Roman" w:cs="Times New Roman"/>
        </w:rPr>
        <w:t xml:space="preserve">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lastRenderedPageBreak/>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F0109D"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xml:space="preserve">. Неотъемлемой </w:t>
      </w:r>
      <w:r w:rsidR="00EE697B" w:rsidRPr="00F0109D">
        <w:rPr>
          <w:rFonts w:ascii="Times New Roman" w:hAnsi="Times New Roman" w:cs="Times New Roman"/>
          <w:bCs/>
          <w:sz w:val="22"/>
          <w:szCs w:val="22"/>
        </w:rPr>
        <w:t>частью настоящего Договора</w:t>
      </w:r>
      <w:r w:rsidR="00F34D9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имеющей с ним одинаковую юридическую силу, являются</w:t>
      </w:r>
      <w:r w:rsidR="00DE5A2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Приложение №1</w:t>
      </w:r>
      <w:r w:rsidR="00F34D9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Приложение №2.</w:t>
      </w:r>
    </w:p>
    <w:p w:rsidR="00EE697B" w:rsidRPr="00F0109D" w:rsidRDefault="00DA5FEF" w:rsidP="00EE697B">
      <w:pPr>
        <w:pStyle w:val="ConsNormal"/>
        <w:widowControl/>
        <w:ind w:firstLine="709"/>
        <w:jc w:val="both"/>
        <w:rPr>
          <w:rFonts w:ascii="Times New Roman" w:hAnsi="Times New Roman" w:cs="Times New Roman"/>
          <w:sz w:val="22"/>
          <w:szCs w:val="22"/>
        </w:rPr>
      </w:pPr>
      <w:r w:rsidRPr="00F0109D">
        <w:rPr>
          <w:rFonts w:ascii="Times New Roman" w:hAnsi="Times New Roman" w:cs="Times New Roman"/>
          <w:bCs/>
          <w:sz w:val="22"/>
          <w:szCs w:val="22"/>
        </w:rPr>
        <w:t>1</w:t>
      </w:r>
      <w:r w:rsidR="00613390" w:rsidRPr="00F0109D">
        <w:rPr>
          <w:rFonts w:ascii="Times New Roman" w:hAnsi="Times New Roman" w:cs="Times New Roman"/>
          <w:bCs/>
          <w:sz w:val="22"/>
          <w:szCs w:val="22"/>
        </w:rPr>
        <w:t>2</w:t>
      </w:r>
      <w:r w:rsidR="00EE697B" w:rsidRPr="00F0109D">
        <w:rPr>
          <w:rFonts w:ascii="Times New Roman" w:hAnsi="Times New Roman" w:cs="Times New Roman"/>
          <w:bCs/>
          <w:sz w:val="22"/>
          <w:szCs w:val="22"/>
        </w:rPr>
        <w:t>.1</w:t>
      </w:r>
      <w:r w:rsidR="00DE5A25" w:rsidRPr="00F0109D">
        <w:rPr>
          <w:rFonts w:ascii="Times New Roman" w:hAnsi="Times New Roman" w:cs="Times New Roman"/>
          <w:bCs/>
          <w:sz w:val="22"/>
          <w:szCs w:val="22"/>
        </w:rPr>
        <w:t>3</w:t>
      </w:r>
      <w:r w:rsidR="00EE697B" w:rsidRPr="00F0109D">
        <w:rPr>
          <w:rFonts w:ascii="Times New Roman" w:hAnsi="Times New Roman" w:cs="Times New Roman"/>
          <w:bCs/>
          <w:sz w:val="22"/>
          <w:szCs w:val="22"/>
        </w:rPr>
        <w:t xml:space="preserve">. Настоящий Договор составлен </w:t>
      </w:r>
      <w:r w:rsidR="00F0109D" w:rsidRPr="00F0109D">
        <w:rPr>
          <w:rFonts w:ascii="Times New Roman" w:hAnsi="Times New Roman" w:cs="Times New Roman"/>
          <w:bCs/>
          <w:sz w:val="22"/>
          <w:szCs w:val="22"/>
        </w:rPr>
        <w:t xml:space="preserve">в </w:t>
      </w:r>
      <w:r w:rsidR="00F0109D" w:rsidRPr="00F0109D">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F0109D">
        <w:rPr>
          <w:rFonts w:ascii="Times New Roman" w:hAnsi="Times New Roman" w:cs="Times New Roman"/>
          <w:sz w:val="22"/>
          <w:szCs w:val="22"/>
        </w:rPr>
        <w:t>.</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5C63C7"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 xml:space="preserve">адрес (местонахождение): 347904, </w:t>
      </w:r>
      <w:r w:rsidRPr="005C63C7">
        <w:rPr>
          <w:rFonts w:ascii="Times New Roman" w:hAnsi="Times New Roman" w:cs="Times New Roman"/>
          <w:sz w:val="22"/>
          <w:szCs w:val="22"/>
        </w:rPr>
        <w:t>Россия, Ростовская область, г. Таганрог, ул. Октябрьская, 38, корпус Б, помещение 7,8</w:t>
      </w:r>
    </w:p>
    <w:p w:rsidR="00BF65FF" w:rsidRPr="005C63C7" w:rsidRDefault="00BF65FF" w:rsidP="00BF65FF">
      <w:pPr>
        <w:pStyle w:val="ConsNormal"/>
        <w:widowControl/>
        <w:ind w:firstLine="0"/>
        <w:jc w:val="both"/>
        <w:rPr>
          <w:rFonts w:ascii="Times New Roman" w:hAnsi="Times New Roman" w:cs="Times New Roman"/>
          <w:sz w:val="22"/>
          <w:szCs w:val="22"/>
        </w:rPr>
      </w:pPr>
      <w:r w:rsidRPr="005C63C7">
        <w:rPr>
          <w:rFonts w:ascii="Times New Roman" w:hAnsi="Times New Roman" w:cs="Times New Roman"/>
          <w:sz w:val="22"/>
          <w:szCs w:val="22"/>
        </w:rPr>
        <w:t>ИНН 6154141958, КПП 615401001, ОГРН 1156196073560, ОКПО 27205428</w:t>
      </w:r>
    </w:p>
    <w:p w:rsidR="00BF65FF" w:rsidRPr="005C63C7" w:rsidRDefault="00BF65FF" w:rsidP="00BF65FF">
      <w:pPr>
        <w:pStyle w:val="ConsNormal"/>
        <w:widowControl/>
        <w:ind w:firstLine="0"/>
        <w:jc w:val="both"/>
        <w:rPr>
          <w:rFonts w:ascii="Times New Roman" w:hAnsi="Times New Roman" w:cs="Times New Roman"/>
          <w:sz w:val="22"/>
          <w:szCs w:val="22"/>
        </w:rPr>
      </w:pPr>
      <w:r w:rsidRPr="005C63C7">
        <w:rPr>
          <w:rFonts w:ascii="Times New Roman" w:hAnsi="Times New Roman" w:cs="Times New Roman"/>
          <w:sz w:val="22"/>
          <w:szCs w:val="22"/>
        </w:rPr>
        <w:t xml:space="preserve">р/с </w:t>
      </w:r>
      <w:r w:rsidR="008558B8" w:rsidRPr="005C63C7">
        <w:rPr>
          <w:rFonts w:ascii="Times New Roman" w:hAnsi="Times New Roman" w:cs="Times New Roman"/>
          <w:sz w:val="22"/>
          <w:szCs w:val="22"/>
        </w:rPr>
        <w:t>40702810752090002984 в ЮГО-ЗАПАДНЫЙ БАНК ПАО СБЕРБАНК, к/с 30101810600000000602, БИК 046015602</w:t>
      </w:r>
      <w:r w:rsidR="005C63C7" w:rsidRPr="005C63C7">
        <w:rPr>
          <w:rFonts w:ascii="Times New Roman" w:hAnsi="Times New Roman" w:cs="Times New Roman"/>
          <w:sz w:val="22"/>
          <w:szCs w:val="22"/>
        </w:rPr>
        <w:t>, ИНН 7707083893, КПП 616143002</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r w:rsidR="005C63C7">
        <w:rPr>
          <w:rFonts w:ascii="Times New Roman" w:eastAsia="Times New Roman" w:hAnsi="Times New Roman" w:cs="Times New Roman"/>
          <w:sz w:val="22"/>
          <w:szCs w:val="22"/>
          <w:highlight w:val="green"/>
        </w:rPr>
        <w:t xml:space="preserve">/ </w:t>
      </w: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5C63C7" w:rsidRDefault="005C63C7" w:rsidP="00BF65FF">
      <w:pPr>
        <w:pStyle w:val="ConsNormal"/>
        <w:widowControl/>
        <w:ind w:firstLine="0"/>
        <w:jc w:val="both"/>
        <w:rPr>
          <w:rFonts w:ascii="Times New Roman" w:eastAsia="Times New Roman" w:hAnsi="Times New Roman" w:cs="Times New Roman"/>
          <w:b/>
          <w:sz w:val="22"/>
          <w:szCs w:val="22"/>
        </w:rPr>
        <w:sectPr w:rsidR="005C63C7" w:rsidSect="001C74F7">
          <w:footerReference w:type="default" r:id="rId14"/>
          <w:type w:val="continuous"/>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5C63C7" w:rsidRDefault="00BF65FF" w:rsidP="005C63C7">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5C63C7" w:rsidRDefault="00BF65FF" w:rsidP="005C63C7">
      <w:pPr>
        <w:pStyle w:val="ConsNormal"/>
        <w:widowControl/>
        <w:ind w:firstLine="0"/>
        <w:jc w:val="both"/>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5C63C7" w:rsidRPr="005C63C7" w:rsidRDefault="005C63C7" w:rsidP="005C63C7">
      <w:pPr>
        <w:pStyle w:val="ConsNormal"/>
        <w:widowControl/>
        <w:ind w:firstLine="0"/>
        <w:jc w:val="both"/>
        <w:rPr>
          <w:rFonts w:ascii="Times New Roman" w:eastAsia="Times New Roman" w:hAnsi="Times New Roman" w:cs="Times New Roman"/>
          <w:sz w:val="22"/>
          <w:szCs w:val="22"/>
        </w:rPr>
      </w:pPr>
    </w:p>
    <w:p w:rsidR="00412F93" w:rsidRPr="005C63C7" w:rsidRDefault="00BF65FF" w:rsidP="005C63C7">
      <w:pPr>
        <w:pStyle w:val="ConsNormal"/>
        <w:widowControl/>
        <w:ind w:firstLine="0"/>
        <w:jc w:val="both"/>
        <w:rPr>
          <w:rFonts w:ascii="Times New Roman" w:eastAsia="Times New Roman" w:hAnsi="Times New Roman" w:cs="Times New Roman"/>
          <w:sz w:val="18"/>
          <w:szCs w:val="18"/>
        </w:r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5C63C7" w:rsidRDefault="005C63C7" w:rsidP="00412F93">
      <w:pPr>
        <w:pStyle w:val="ConsNormal"/>
        <w:widowControl/>
        <w:ind w:firstLine="0"/>
        <w:rPr>
          <w:rFonts w:ascii="Times New Roman" w:hAnsi="Times New Roman" w:cs="Times New Roman"/>
          <w:bCs/>
          <w:sz w:val="22"/>
          <w:szCs w:val="22"/>
        </w:rPr>
        <w:sectPr w:rsidR="005C63C7" w:rsidSect="005C63C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5C63C7">
              <w:rPr>
                <w:rFonts w:ascii="Times New Roman" w:eastAsia="Times New Roman" w:hAnsi="Times New Roman" w:cs="Times New Roman"/>
                <w:sz w:val="22"/>
                <w:szCs w:val="22"/>
                <w:highlight w:val="green"/>
              </w:rPr>
              <w:t>3</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w:t>
      </w:r>
      <w:r w:rsidR="00412F93">
        <w:rPr>
          <w:rFonts w:ascii="Times New Roman" w:hAnsi="Times New Roman" w:cs="Times New Roman"/>
          <w:bCs/>
          <w:sz w:val="22"/>
          <w:szCs w:val="22"/>
        </w:rPr>
        <w:t>Объекта долевого строительства</w:t>
      </w:r>
      <w:r w:rsidRPr="003B2D55">
        <w:rPr>
          <w:rFonts w:ascii="Times New Roman" w:hAnsi="Times New Roman" w:cs="Times New Roman"/>
          <w:bCs/>
          <w:sz w:val="22"/>
          <w:szCs w:val="22"/>
        </w:rPr>
        <w:t xml:space="preserve">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w:t>
      </w:r>
      <w:r w:rsidR="00412F93">
        <w:rPr>
          <w:rFonts w:ascii="Times New Roman" w:hAnsi="Times New Roman" w:cs="Times New Roman"/>
          <w:bCs/>
          <w:sz w:val="22"/>
          <w:szCs w:val="22"/>
        </w:rPr>
        <w:t>го</w:t>
      </w:r>
      <w:r w:rsidRPr="003B2D55">
        <w:rPr>
          <w:rFonts w:ascii="Times New Roman" w:hAnsi="Times New Roman" w:cs="Times New Roman"/>
          <w:bCs/>
          <w:sz w:val="22"/>
          <w:szCs w:val="22"/>
        </w:rPr>
        <w:t xml:space="preserve">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lastRenderedPageBreak/>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w:t>
      </w:r>
      <w:r w:rsidR="00412F93">
        <w:rPr>
          <w:rFonts w:ascii="Times New Roman" w:hAnsi="Times New Roman" w:cs="Times New Roman"/>
          <w:bCs/>
          <w:highlight w:val="green"/>
        </w:rPr>
        <w:t>Объекту долевого строительства</w:t>
      </w:r>
      <w:r w:rsidRPr="003B2D55">
        <w:rPr>
          <w:rFonts w:ascii="Times New Roman" w:hAnsi="Times New Roman" w:cs="Times New Roman"/>
          <w:bCs/>
          <w:highlight w:val="green"/>
        </w:rPr>
        <w:t xml:space="preserve"> (разводку коммуникаций в </w:t>
      </w:r>
      <w:r w:rsidR="00412F93">
        <w:rPr>
          <w:rFonts w:ascii="Times New Roman" w:hAnsi="Times New Roman" w:cs="Times New Roman"/>
          <w:bCs/>
          <w:highlight w:val="green"/>
        </w:rPr>
        <w:t>Объекте долевого строительства</w:t>
      </w:r>
      <w:r w:rsidRPr="003B2D55">
        <w:rPr>
          <w:rFonts w:ascii="Times New Roman" w:hAnsi="Times New Roman" w:cs="Times New Roman"/>
          <w:bCs/>
          <w:highlight w:val="green"/>
        </w:rPr>
        <w:t xml:space="preserve">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84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1629C"/>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85ABC"/>
    <w:rsid w:val="000911B1"/>
    <w:rsid w:val="000944D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3FEC"/>
    <w:rsid w:val="00177006"/>
    <w:rsid w:val="00180784"/>
    <w:rsid w:val="00193B96"/>
    <w:rsid w:val="0019693E"/>
    <w:rsid w:val="00196BFD"/>
    <w:rsid w:val="001A269A"/>
    <w:rsid w:val="001A5780"/>
    <w:rsid w:val="001A5CB7"/>
    <w:rsid w:val="001B3634"/>
    <w:rsid w:val="001B4B78"/>
    <w:rsid w:val="001C6A28"/>
    <w:rsid w:val="001C74F7"/>
    <w:rsid w:val="001D06A9"/>
    <w:rsid w:val="001D68C8"/>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0270"/>
    <w:rsid w:val="00232396"/>
    <w:rsid w:val="00250D79"/>
    <w:rsid w:val="00251C0B"/>
    <w:rsid w:val="00263D91"/>
    <w:rsid w:val="00264FD0"/>
    <w:rsid w:val="00265D5B"/>
    <w:rsid w:val="002704FA"/>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4912"/>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73E8C"/>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12F93"/>
    <w:rsid w:val="00430407"/>
    <w:rsid w:val="00431F24"/>
    <w:rsid w:val="00442519"/>
    <w:rsid w:val="00445F25"/>
    <w:rsid w:val="004473E3"/>
    <w:rsid w:val="00452602"/>
    <w:rsid w:val="00454764"/>
    <w:rsid w:val="004604D1"/>
    <w:rsid w:val="004664E6"/>
    <w:rsid w:val="00475B13"/>
    <w:rsid w:val="00481EA1"/>
    <w:rsid w:val="00482A82"/>
    <w:rsid w:val="00484623"/>
    <w:rsid w:val="004879D9"/>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05886"/>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3C7"/>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24194"/>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57CFA"/>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58B8"/>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1F4C"/>
    <w:rsid w:val="00923592"/>
    <w:rsid w:val="009242CE"/>
    <w:rsid w:val="009303AD"/>
    <w:rsid w:val="00934505"/>
    <w:rsid w:val="00934674"/>
    <w:rsid w:val="009352CB"/>
    <w:rsid w:val="00941653"/>
    <w:rsid w:val="009424A7"/>
    <w:rsid w:val="00946D05"/>
    <w:rsid w:val="00952060"/>
    <w:rsid w:val="00952C4C"/>
    <w:rsid w:val="00962260"/>
    <w:rsid w:val="009625B3"/>
    <w:rsid w:val="00967534"/>
    <w:rsid w:val="0097158C"/>
    <w:rsid w:val="00973C68"/>
    <w:rsid w:val="00974CD5"/>
    <w:rsid w:val="00976200"/>
    <w:rsid w:val="00981067"/>
    <w:rsid w:val="00981AE2"/>
    <w:rsid w:val="00984761"/>
    <w:rsid w:val="00986763"/>
    <w:rsid w:val="00987032"/>
    <w:rsid w:val="00993132"/>
    <w:rsid w:val="0099676B"/>
    <w:rsid w:val="009A2DA5"/>
    <w:rsid w:val="009A46C4"/>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B24A5"/>
    <w:rsid w:val="00AC5521"/>
    <w:rsid w:val="00AC5AC5"/>
    <w:rsid w:val="00AC61FE"/>
    <w:rsid w:val="00AD4C2A"/>
    <w:rsid w:val="00AF030F"/>
    <w:rsid w:val="00AF201C"/>
    <w:rsid w:val="00AF2EF0"/>
    <w:rsid w:val="00AF5561"/>
    <w:rsid w:val="00B05E1A"/>
    <w:rsid w:val="00B0710A"/>
    <w:rsid w:val="00B12209"/>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71CA"/>
    <w:rsid w:val="00BA78BB"/>
    <w:rsid w:val="00BB0152"/>
    <w:rsid w:val="00BB3305"/>
    <w:rsid w:val="00BB6349"/>
    <w:rsid w:val="00BC6D64"/>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54A0"/>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B209C"/>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23B9C"/>
    <w:rsid w:val="00E24317"/>
    <w:rsid w:val="00E30AE5"/>
    <w:rsid w:val="00E3223B"/>
    <w:rsid w:val="00E32B97"/>
    <w:rsid w:val="00E341B4"/>
    <w:rsid w:val="00E47153"/>
    <w:rsid w:val="00E550DA"/>
    <w:rsid w:val="00E62520"/>
    <w:rsid w:val="00E65661"/>
    <w:rsid w:val="00E6692D"/>
    <w:rsid w:val="00E80D5C"/>
    <w:rsid w:val="00E81B1B"/>
    <w:rsid w:val="00E87731"/>
    <w:rsid w:val="00E9433A"/>
    <w:rsid w:val="00E946A6"/>
    <w:rsid w:val="00E958B5"/>
    <w:rsid w:val="00E9725D"/>
    <w:rsid w:val="00E97580"/>
    <w:rsid w:val="00EA2F32"/>
    <w:rsid w:val="00EA32EC"/>
    <w:rsid w:val="00EA3BB6"/>
    <w:rsid w:val="00EA3E83"/>
    <w:rsid w:val="00EB0B14"/>
    <w:rsid w:val="00EB69B2"/>
    <w:rsid w:val="00EB77D1"/>
    <w:rsid w:val="00ED093D"/>
    <w:rsid w:val="00ED3073"/>
    <w:rsid w:val="00ED48A8"/>
    <w:rsid w:val="00EE0A44"/>
    <w:rsid w:val="00EE1381"/>
    <w:rsid w:val="00EE13AF"/>
    <w:rsid w:val="00EE5D72"/>
    <w:rsid w:val="00EE697B"/>
    <w:rsid w:val="00EE746E"/>
    <w:rsid w:val="00EF02DB"/>
    <w:rsid w:val="00EF1906"/>
    <w:rsid w:val="00EF797B"/>
    <w:rsid w:val="00F00C6F"/>
    <w:rsid w:val="00F0109D"/>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03B0"/>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DC1D32C"/>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6430-1C17-4B67-9B40-766F87D8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8105</Words>
  <Characters>46200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2017-02-17T11:38:00Z</cp:lastPrinted>
  <dcterms:created xsi:type="dcterms:W3CDTF">2024-04-05T06:41:00Z</dcterms:created>
  <dcterms:modified xsi:type="dcterms:W3CDTF">2024-04-05T07:28:00Z</dcterms:modified>
</cp:coreProperties>
</file>