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3" w:rsidRPr="00007F62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 № </w:t>
      </w:r>
      <w:r w:rsidR="001D6F4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13/4-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участия в долевом строительстве </w:t>
      </w:r>
      <w:r w:rsidR="002B5586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многоквартирного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жилого дома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2B5586" w:rsidP="00116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город Чебоксары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8C16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9C055F" w:rsidP="009C0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</w:pPr>
      <w:bookmarkStart w:id="0" w:name="Par99"/>
      <w:bookmarkEnd w:id="0"/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Общество с ограниченной ответственностью </w:t>
      </w:r>
      <w:r w:rsidR="00C85C1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«Специализированный Застройщик </w:t>
      </w:r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«Группа компаний «Центр», </w:t>
      </w:r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именуемое в дальнейшем «Застройщик», в лице уполномоченного лица Ивановой Марины Иоанновны, действующей на основании доверенности 21 А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А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1052633 от 30 октября 2018 года, удостоверенной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Шагаровым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А.В., нотариусом нотариального округа: город Чебоксары Чувашской Республики, зарегистрировано в реестре за №21/43-н/21-2018-8-444, с одной стороны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и </w:t>
      </w:r>
    </w:p>
    <w:p w:rsidR="00116EC3" w:rsidRPr="009C055F" w:rsidRDefault="00116EC3" w:rsidP="00116E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Граждан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ин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Р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оссийской 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Ф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едерации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___________________</w:t>
      </w:r>
      <w:r w:rsidR="00952258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, </w:t>
      </w:r>
      <w:r w:rsidR="006B5CA9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>_____</w:t>
      </w:r>
      <w:r w:rsidR="00913F81" w:rsidRPr="00B87A2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 года рождения</w:t>
      </w:r>
      <w:r w:rsidR="00913F8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именуем</w:t>
      </w:r>
      <w:r w:rsidR="00B57CB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ы</w:t>
      </w:r>
      <w:r w:rsid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й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в дальнейшем «Участник</w:t>
      </w:r>
      <w:r w:rsidR="002B5586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долевого строительства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»</w:t>
      </w:r>
      <w:r w:rsidR="00B50B18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или «Участник»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, с другой стороны, при совместном упоминании именуемые «Стороны», заключили настоящий договор (далее - Договор) о нижеследующем: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 По настоящему Договору Застройщик обязуется построить (создать) своими силами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или с привлечением третьих лиц Ж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получения разрешения на в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вод жилого дома в эксплуатацию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передать соответствующий Объект </w:t>
      </w:r>
      <w:r w:rsidR="00AE6FED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 Участник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="005404C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40CC8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в </w:t>
      </w:r>
      <w:r w:rsidR="00AE6FED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собственность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а Участник 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обязуется в порядке и на условиях, установленных настоящим Договором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уплатить обусловленную Договором цену и принять Объект долевого строительства при наличии раз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решения на ввод в эксплуатацию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Жилым домом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настоящему договору является: «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Многоквартирны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 встроен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о-пристроенными объектами обслуживания и автостоянк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поз.1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/4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6B5CA9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этап </w:t>
      </w:r>
      <w:r w:rsidR="00FC62E9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строительства – 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б/с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В, Г, Д, Е, автостоянка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4F6FCC" w:rsidRPr="009C05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</w:t>
      </w:r>
      <w:r w:rsidR="004F6F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расположенный по адресу: 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Чувашская Республика -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Чувашия, г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Чебоксары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микрорайон 2 «А» центральной части города Чебоксары «</w:t>
      </w:r>
      <w:proofErr w:type="spellStart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Грязевская</w:t>
      </w:r>
      <w:proofErr w:type="spellEnd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стрелка»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ограниченный улицами Гагарина, Ярмарочная, Пионерская, Калинина</w:t>
      </w:r>
      <w:r w:rsidR="00757C8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3619F4" w:rsidRPr="009C055F" w:rsidRDefault="003619F4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C055F">
        <w:rPr>
          <w:rFonts w:ascii="Times New Roman" w:eastAsia="Calibri" w:hAnsi="Times New Roman" w:cs="Times New Roman"/>
          <w:sz w:val="20"/>
          <w:szCs w:val="20"/>
          <w:u w:val="single"/>
        </w:rPr>
        <w:t>Основные характеристики жилого дома: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Вид и общая площадь - Многоквартирный дом общей площадью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 xml:space="preserve"> (с учетом лоджий с понижающим коэффициентом)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12 721,1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кв. метров, состоящий из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4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блок-секций.</w:t>
      </w:r>
    </w:p>
    <w:p w:rsidR="00585CF1" w:rsidRPr="00910B9D" w:rsidRDefault="00585CF1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Функциональное назначение объекта капитального строительства – жилое здание.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Количество этажей – 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>7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>этажность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-1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 xml:space="preserve">7 </w:t>
      </w:r>
      <w:proofErr w:type="spellStart"/>
      <w:r w:rsidR="00994584" w:rsidRPr="00910B9D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="00585CF1" w:rsidRPr="00910B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Материал наружных стен 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570DB" w:rsidRPr="00910B9D">
        <w:rPr>
          <w:rFonts w:ascii="Times New Roman" w:hAnsi="Times New Roman" w:cs="Times New Roman"/>
          <w:sz w:val="20"/>
          <w:szCs w:val="20"/>
        </w:rPr>
        <w:t>стены с лицевым слоем из облицовочного кирпича.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Цоколь - фасадная штукатурка «по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>д шубу».</w:t>
      </w:r>
    </w:p>
    <w:p w:rsidR="008570DB" w:rsidRPr="00910B9D" w:rsidRDefault="008570DB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>Материал поэтажных покрытий – монолитные железобетонные перекрытия.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Конструкция здания – монолитный железобетонный каркас.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 xml:space="preserve">Класс энергоэффективности: </w:t>
      </w:r>
      <w:r w:rsidR="00585CF1" w:rsidRPr="00910B9D">
        <w:rPr>
          <w:rFonts w:ascii="Times New Roman" w:hAnsi="Times New Roman" w:cs="Times New Roman"/>
          <w:sz w:val="20"/>
          <w:szCs w:val="20"/>
        </w:rPr>
        <w:t xml:space="preserve">не </w:t>
      </w:r>
      <w:r w:rsidR="00B94B0C" w:rsidRPr="00910B9D">
        <w:rPr>
          <w:rFonts w:ascii="Times New Roman" w:hAnsi="Times New Roman" w:cs="Times New Roman"/>
          <w:sz w:val="20"/>
          <w:szCs w:val="20"/>
        </w:rPr>
        <w:t>ниже «С».</w:t>
      </w:r>
      <w:r w:rsidR="00B94B0C" w:rsidRPr="00910B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19F4" w:rsidRPr="009C055F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Класс сейсмостойкости – 6 баллов.</w:t>
      </w:r>
    </w:p>
    <w:p w:rsidR="00B21189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1.1.2. Строительство Жилого дома осуществляется Застройщиком 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на основании Разрешения на строительство от </w:t>
      </w:r>
      <w:r w:rsidR="006B5CA9">
        <w:rPr>
          <w:rFonts w:ascii="Times New Roman" w:eastAsia="Calibri" w:hAnsi="Times New Roman" w:cs="Times New Roman"/>
          <w:sz w:val="20"/>
          <w:szCs w:val="20"/>
        </w:rPr>
        <w:t>14 марта 2022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№21-01-</w:t>
      </w:r>
      <w:r w:rsidR="006B5CA9">
        <w:rPr>
          <w:rFonts w:ascii="Times New Roman" w:eastAsia="Calibri" w:hAnsi="Times New Roman" w:cs="Times New Roman"/>
          <w:sz w:val="20"/>
          <w:szCs w:val="20"/>
        </w:rPr>
        <w:t>15</w:t>
      </w:r>
      <w:r w:rsidR="00901D45" w:rsidRPr="009C055F">
        <w:rPr>
          <w:rFonts w:ascii="Times New Roman" w:eastAsia="Calibri" w:hAnsi="Times New Roman" w:cs="Times New Roman"/>
          <w:sz w:val="20"/>
          <w:szCs w:val="20"/>
        </w:rPr>
        <w:t>-202</w:t>
      </w:r>
      <w:r w:rsidR="006B5CA9">
        <w:rPr>
          <w:rFonts w:ascii="Times New Roman" w:eastAsia="Calibri" w:hAnsi="Times New Roman" w:cs="Times New Roman"/>
          <w:sz w:val="20"/>
          <w:szCs w:val="20"/>
        </w:rPr>
        <w:t>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, выданного Администрацией города Чебоксары,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на земельном участке с кадастровым номером:</w:t>
      </w:r>
      <w:r w:rsidR="00E05D7F"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>21:01: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030113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6426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площадью </w:t>
      </w:r>
      <w:r w:rsidR="00C716A6" w:rsidRPr="006B5CA9">
        <w:rPr>
          <w:rFonts w:ascii="Times New Roman" w:eastAsia="Calibri" w:hAnsi="Times New Roman" w:cs="Times New Roman"/>
          <w:sz w:val="20"/>
          <w:szCs w:val="20"/>
        </w:rPr>
        <w:t>15 842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 кв</w:t>
      </w:r>
      <w:r w:rsidR="0011292F" w:rsidRPr="009C055F">
        <w:rPr>
          <w:rFonts w:ascii="Times New Roman" w:eastAsia="Calibri" w:hAnsi="Times New Roman" w:cs="Times New Roman"/>
          <w:sz w:val="20"/>
          <w:szCs w:val="20"/>
        </w:rPr>
        <w:t>.м., с видом разрешенного использования «многоэтажная жилая застройка (высотная застройка)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>, находящегося у Застройщика на праве аренды на основании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договор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а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аренды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 xml:space="preserve"> земельного участка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133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/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6096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-К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26 сентября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9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, запись о регистрации 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20.01.2020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21:01:</w:t>
      </w:r>
      <w:r w:rsidR="00D5551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000000:55978-21/042/2020-85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договор</w:t>
      </w:r>
      <w:r w:rsidR="00EA05A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передачи прав и обязанностей по договору аренды (перенайма) б/н от 09.11.2020 года, запись о регистрации от 03.12.2020 года №21:01:000000:55978-21/042/2020-568.</w:t>
      </w:r>
    </w:p>
    <w:p w:rsidR="00116EC3" w:rsidRPr="009C055F" w:rsidRDefault="007818B2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1.2. </w:t>
      </w:r>
      <w:r w:rsidR="00116EC3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Объектом долевого строительства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является структурно обособленное помещение со следующими основными характеристиками: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6"/>
        <w:gridCol w:w="1730"/>
      </w:tblGrid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№*</w:t>
            </w:r>
          </w:p>
        </w:tc>
        <w:tc>
          <w:tcPr>
            <w:tcW w:w="1730" w:type="dxa"/>
          </w:tcPr>
          <w:p w:rsidR="00116EC3" w:rsidRPr="00952258" w:rsidRDefault="00116EC3" w:rsidP="00D3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этапа строительства</w:t>
            </w:r>
          </w:p>
        </w:tc>
        <w:tc>
          <w:tcPr>
            <w:tcW w:w="1730" w:type="dxa"/>
          </w:tcPr>
          <w:p w:rsidR="00116EC3" w:rsidRPr="00F9620C" w:rsidRDefault="00F9620C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6B5C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50B18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блок-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секции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этажа, на котором расположен объект долевого строительства</w:t>
            </w:r>
          </w:p>
        </w:tc>
        <w:tc>
          <w:tcPr>
            <w:tcW w:w="1730" w:type="dxa"/>
          </w:tcPr>
          <w:p w:rsidR="00116EC3" w:rsidRPr="00952258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комнат (шт.)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10206" w:type="dxa"/>
            <w:gridSpan w:val="2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помещений, в т. ч. вспомогательных: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 w:rsidR="001D6F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B50B1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Кухня</w:t>
            </w:r>
            <w:r w:rsidR="00116EC3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Гардероб (кв.м.)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400" w:rsidRPr="009C055F" w:rsidTr="004F6FCC">
        <w:tc>
          <w:tcPr>
            <w:tcW w:w="8476" w:type="dxa"/>
          </w:tcPr>
          <w:p w:rsidR="00F54400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F54400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Коридор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D4694C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лощадь балкона/лоджии/террасы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балкона/лоджии/террасы </w:t>
            </w:r>
          </w:p>
        </w:tc>
        <w:tc>
          <w:tcPr>
            <w:tcW w:w="1730" w:type="dxa"/>
          </w:tcPr>
          <w:p w:rsidR="00CA54F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приведенная площадь объекта долевого строительства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Сумма Общей площади и Площади балкона/лоджии/террасы с понижающими коэффициентами (кв. м.)</w:t>
            </w:r>
          </w:p>
        </w:tc>
        <w:tc>
          <w:tcPr>
            <w:tcW w:w="1730" w:type="dxa"/>
          </w:tcPr>
          <w:p w:rsidR="00CA54F2" w:rsidRPr="00007F6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* Номер квартиры, указанный в настоящем пункте, является условным и уточняется после составлен</w:t>
      </w:r>
      <w:r w:rsidR="0011292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ия экспликации (технического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плана) на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 получения Застройщиком разрешения на ввод в эксплуатацию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</w:t>
      </w:r>
      <w:r w:rsidR="00A62D3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/секции Жилого дома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6B228C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1.2.1.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местоположения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:rsidR="00116EC3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228C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согласились, что 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приведенная площадь объекта долевого строительства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указанная в п. 1.2. настоящего Договора, является проектной площадью и может отличаться от фактической (по данным БТИ). Сторонами допускается и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не является основанием для расторжения или изменения настоящего Договора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фактической </w:t>
      </w:r>
      <w:r w:rsidR="00F93B8A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приведенной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1.2.3. Объект долевого строительства передается Участнику в следующем техническом состоянии: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выполняются из ПВХ профиля с двухкамерным стеклопакетом без подоконников;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остекление лоджии выполняются из ПВХ профиля с одинарным остеклением;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входные двери из ДВП, с фурнитурой (замок, ручка);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двери и дверные блоки не устанавливаются;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жилых комнатах и санузлах на полах выполнена стяжка, стяжка на лоджиях и балконах не выполняется.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чистовое покрытие пола не выполняется;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стены из мелкоштучных каменных материалов оштукатурены,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перегородки из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пазогребневых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 затёрты по швам,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стены и потолок без чистовой отделки;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hAnsi="Times New Roman" w:cs="Times New Roman"/>
          <w:sz w:val="20"/>
          <w:szCs w:val="20"/>
        </w:rPr>
        <w:t>- сборные ж/б колонны, пилоны и диафрагмы жесткости не штукатурятся, без выполнения работ по затирке      швов и выравниванию потолков;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-приборы отопления – радиаторы по проекту;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 индивидуальный узел учета тепловой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холодное, горячее водоснабжение устанавливается в объеме стояков с отсекающей запорной арматурой, прибором учета, с установкой пожарной крана без разводки до сантехнических приборов;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сантехническое оборудование (ванна, умывальник, унитаз, мойка) не устанавливается;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канализация монтируется в объеме стояков с установкой заглушек в местах подсоединения внутриквартирной разводки;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полотенцесушитель не устанавливается.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электроразводка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выполнена по квартире с установкой розеток, выключателей;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устанавливается прибор учета электрической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Ввод слаботочных сетей  – до входной двери оптоволоконным кабелем.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</w:t>
      </w:r>
      <w:r w:rsidR="00967B2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ЕИСЖС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Участнику понятно содержание данных документов.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374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Также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116EC3" w:rsidRPr="009C055F" w:rsidRDefault="00116EC3" w:rsidP="00585C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1.3.1. Кроме того, Участник настоящим выражает свое согласие: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</w:t>
      </w:r>
      <w:r w:rsidRPr="006B5CA9">
        <w:rPr>
          <w:rFonts w:ascii="Times New Roman" w:hAnsi="Times New Roman"/>
        </w:rPr>
        <w:t xml:space="preserve">передачу при необходимости кредитной организации (банку) в залог (ипотеку) права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кв.м. с кадастровым номером </w:t>
      </w:r>
      <w:r w:rsidR="00C716A6" w:rsidRPr="006B5CA9">
        <w:rPr>
          <w:rFonts w:ascii="Times New Roman" w:eastAsia="Calibri" w:hAnsi="Times New Roman"/>
        </w:rPr>
        <w:t>21:01:030113:6426</w:t>
      </w:r>
      <w:r w:rsidRPr="006B5CA9">
        <w:rPr>
          <w:rFonts w:ascii="Times New Roman" w:hAnsi="Times New Roman"/>
        </w:rPr>
        <w:t>, на котором ведется строительство Объекта долевого строительства;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 xml:space="preserve">- передачу при необходимости прав и обязанностей по договору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 кв.м. с кадастровым номером </w:t>
      </w:r>
      <w:r w:rsidR="00C716A6" w:rsidRPr="006B5CA9">
        <w:rPr>
          <w:rFonts w:ascii="Times New Roman" w:eastAsia="Calibri" w:hAnsi="Times New Roman"/>
        </w:rPr>
        <w:t xml:space="preserve">21:01:030113:6426 </w:t>
      </w:r>
      <w:r w:rsidRPr="006B5CA9">
        <w:rPr>
          <w:rFonts w:ascii="Times New Roman" w:hAnsi="Times New Roman"/>
        </w:rPr>
        <w:t>(перенайма) или вновь образованных земельных участков  иному застройщику с условием согласования заключения такого договора с арендодателем земельного участка;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>- залог права аренды данного земельного участка</w:t>
      </w:r>
      <w:r w:rsidRPr="009C055F">
        <w:rPr>
          <w:rFonts w:ascii="Times New Roman" w:hAnsi="Times New Roman"/>
        </w:rPr>
        <w:t xml:space="preserve"> в обеспечение исполнения обязательств Застройщика перед другими лицами по договорам долевого участия в строительстве, которые могут быть заключены Застройщиком в отношении других объектов, строящихся на данном земельном участке;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межевание, изменение границ указанного земельного участка путем их раздела (объединения) на земельные участки меньшего (большего) размера, в случае строительства в соответствии с градостроительным законодательством на данных земельных участках других объектов недвижимости;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 земельного участка, а также его разделение на смежные участки, перераспределение, объединение;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изменение вида разрешенного использования земельного участка, при условии, что такое изменение не препятствует строительству многоквартирного жилого дома;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снятие с кадастрового учета земельного участка, а также постановку на кадастровый учет вновь образованных земельных участков;</w:t>
      </w:r>
    </w:p>
    <w:p w:rsidR="00585CF1" w:rsidRPr="009C055F" w:rsidRDefault="00585CF1" w:rsidP="00585CF1">
      <w:pPr>
        <w:pStyle w:val="ConsNormal"/>
        <w:widowControl/>
        <w:ind w:firstLine="567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регистрацию прав Застройщика на вновь образованные земельные участки;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образование 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возникает в будущем доля в праве общей долевой собственности, из земельного участка, на котором осуществляется строительство.          </w:t>
      </w:r>
    </w:p>
    <w:p w:rsidR="006A7BA2" w:rsidRPr="009C055F" w:rsidRDefault="00116EC3" w:rsidP="005A28B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1.4. Объект долевого строительства передается Участнику Застройщиком по настоящему Договору в состоянии (качественные характе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ристики),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в 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договоре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какой-либо вид работ и/или оборудование не указано, оно выполнению и/или установке не подлежит.</w:t>
      </w:r>
    </w:p>
    <w:p w:rsidR="008616A2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1.5. Срок 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строительства Объекта</w:t>
      </w:r>
      <w:r w:rsidR="00585CF1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получения Разрешения на ввод объекта в эксплуатацию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E4AA9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8483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не позднее 31 декабря</w:t>
      </w:r>
      <w:r w:rsidR="002F135D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202</w:t>
      </w:r>
      <w:r w:rsidR="00926E5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48012A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года.</w:t>
      </w:r>
    </w:p>
    <w:p w:rsidR="00116EC3" w:rsidRDefault="00E25A4A" w:rsidP="00E25A4A">
      <w:pPr>
        <w:pStyle w:val="ae"/>
        <w:numPr>
          <w:ilvl w:val="1"/>
          <w:numId w:val="4"/>
        </w:numPr>
        <w:tabs>
          <w:tab w:val="left" w:pos="1032"/>
        </w:tabs>
        <w:spacing w:after="0" w:line="215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Срок передачи Застройщиком Объекта долевого строительства Участнику долевого строительства – в течение </w:t>
      </w:r>
      <w:r w:rsidR="003F7819" w:rsidRPr="009C055F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Pr="009C055F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получения Разрешения</w:t>
      </w:r>
      <w:r w:rsidR="0068483B" w:rsidRPr="009C055F">
        <w:rPr>
          <w:rFonts w:ascii="Times New Roman" w:eastAsia="Times New Roman" w:hAnsi="Times New Roman" w:cs="Times New Roman"/>
          <w:sz w:val="20"/>
          <w:szCs w:val="20"/>
        </w:rPr>
        <w:t xml:space="preserve"> на ввод объекта в эксплуатацию.</w:t>
      </w:r>
    </w:p>
    <w:p w:rsidR="00AE43DF" w:rsidRPr="009C055F" w:rsidRDefault="00AE43DF" w:rsidP="00AE43DF">
      <w:pPr>
        <w:pStyle w:val="ae"/>
        <w:tabs>
          <w:tab w:val="left" w:pos="1032"/>
        </w:tabs>
        <w:spacing w:after="0" w:line="215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Par115"/>
      <w:bookmarkEnd w:id="1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 Объем и условия инвестирования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2.1. На момент заключения настоящего Договора Цена Договора соответствует денежной сумме в размере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r w:rsidR="00952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(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) рублей 00 коп.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(НДС не облагается).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настоящего договора ("Цена Договора"), подлежащая оплате Участником,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1 кв. м площади –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руб.  </w:t>
      </w:r>
      <w:r w:rsidR="00F9620C"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сы с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 следующими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понижающими коэффициентами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установленными федеральным органом исполнительной власти:</w:t>
      </w:r>
    </w:p>
    <w:p w:rsidR="00E72747" w:rsidRPr="009C055F" w:rsidRDefault="00E72747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6"/>
        <w:gridCol w:w="5307"/>
      </w:tblGrid>
      <w:tr w:rsidR="00E72747" w:rsidRPr="009C055F" w:rsidTr="002F135D">
        <w:trPr>
          <w:trHeight w:val="1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лоджий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72747" w:rsidRPr="009C055F" w:rsidTr="002F135D">
        <w:trPr>
          <w:trHeight w:val="1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балконов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террас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веранд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E72747" w:rsidRPr="009C055F" w:rsidRDefault="00E72747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0A37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proofErr w:type="spellStart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открываемый в </w:t>
      </w:r>
      <w:r w:rsidR="0094492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Банк </w:t>
      </w:r>
      <w:r w:rsidR="00585CF1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«Сбербанк России» 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скроу</w:t>
      </w:r>
      <w:proofErr w:type="spellEnd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и блокирования денежных средств,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полученных банком от являющего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ся владельцем счета Участника (Д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епонента) в счет уплаты цены Договора участия в долевом строительстве,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их перечисления Застройщику 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(Б</w:t>
      </w:r>
      <w:r w:rsidRPr="009C055F">
        <w:rPr>
          <w:rFonts w:ascii="Times New Roman" w:eastAsia="Calibri" w:hAnsi="Times New Roman" w:cs="Times New Roman"/>
          <w:sz w:val="20"/>
          <w:szCs w:val="20"/>
        </w:rPr>
        <w:t>енефициару)</w:t>
      </w:r>
      <w:r w:rsidR="000A3742" w:rsidRPr="009C055F">
        <w:rPr>
          <w:rFonts w:ascii="Times New Roman" w:eastAsia="Calibri" w:hAnsi="Times New Roman" w:cs="Times New Roman"/>
          <w:sz w:val="20"/>
          <w:szCs w:val="20"/>
        </w:rPr>
        <w:t xml:space="preserve"> при возникновении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 xml:space="preserve"> условий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-агентом, с учетом следующего: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Эскроу</w:t>
      </w:r>
      <w:proofErr w:type="spellEnd"/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-агент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Escrow_Sberbank@sberbank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телефона:8-800-555-55-50.</w:t>
      </w:r>
    </w:p>
    <w:p w:rsidR="00F9620C" w:rsidRPr="00CA54F2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ООО </w:t>
      </w:r>
      <w:r w:rsidRPr="009C055F">
        <w:rPr>
          <w:rFonts w:ascii="Times New Roman" w:hAnsi="Times New Roman" w:cs="Times New Roman"/>
          <w:sz w:val="20"/>
          <w:szCs w:val="20"/>
        </w:rPr>
        <w:t>«Специализированный застройщик</w:t>
      </w:r>
      <w:r w:rsidRPr="009C05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«Группа компаний «Центр»</w:t>
      </w:r>
    </w:p>
    <w:p w:rsidR="00F9620C" w:rsidRDefault="002F135D" w:rsidP="002F135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Депонируемая сумма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перечисления Депонентом Суммы депонирования: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5 рабочих дней с момента государственной регистрации настоящего договора.</w:t>
      </w:r>
    </w:p>
    <w:p w:rsidR="002F135D" w:rsidRPr="009C055F" w:rsidRDefault="002F135D" w:rsidP="002F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условного депонирования денежных средств: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30 июня 202</w:t>
      </w:r>
      <w:r w:rsidR="00926E5B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более шести месяцев после срока ввода в эксплуатацию Жилого дома.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перечисления застройщику (бенефициару) депонированной суммы: 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разрешение</w:t>
      </w:r>
      <w:r w:rsidR="002F3F0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ввод в эксплуатацию Объекта.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для перечисления депонированной суммы: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Банк получателя: ЧУВАШСКОЕ ОТДЕЛЕНИЕ №8613 ПАО СБЕРБАНК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К/счет банка получателя: №30101810300000000609 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БИК банка получателя: 049706609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ИНН получателя: 2130200533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КПП получателя: 213001001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ОГРН: 1182130004792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Получатель: ООО «СЗ «ГК «Центр»</w:t>
      </w:r>
    </w:p>
    <w:p w:rsidR="002F135D" w:rsidRPr="00A06152" w:rsidRDefault="002F135D" w:rsidP="00A061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Счет получателя: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40702810075000006452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2F135D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Оплата в размере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Участником долевого строительства с использованием специального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-счета после государственной регистрации настоящего Договора в следующем порядке: </w:t>
      </w:r>
    </w:p>
    <w:p w:rsidR="009C055F" w:rsidRPr="009C055F" w:rsidRDefault="008F1703" w:rsidP="006B5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9C055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2.3. Стоимость 1 кв. метра считается неизменной. В связи с тем, что фактическая площадь объекта может отличаться от проектной площади, - общая Цена Договора может изменяться в случаях, предусмотренных пунктами 2.6., 2.7. настоящего Договора.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2.4. В случае невыполнения в срок, либо ненадлежащего выполнения Участником обязательства, указанного в п. 2.2 Договора, Застройщик вправе в односторонней внесудебном прядке отказаться от исполнения настоящего Договора в соответствии с действующим законодательством Российской Федерации.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Расходы на первоначальную инвентаризацию Объекта долевого строительства (оформление тех. плана на Жилой дом) несёт Застройщик.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Окончательный расчет в соответствии с условиями настоящего Договора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в результате строительства фактическая Общая приведенная площадь Объекта долевого строительства увеличится, - Участник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расчетный счет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Кроме того, цена Договора, в том числе стоимость 1 кв. м, может быть изменена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3.1. Застройщик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3.1.1. Обеспечить строительно-монтажные и пусконала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дочные работы по строительству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объеме, предусмотренном проектно-сметной документацией.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3.1.2. Сообщать Участнику информацию, по требованию последнего, о ходе выполнения 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роительных работ по возведению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3.1.3. Использовать денежные средства,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предназначенные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для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 том числе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3.1.3.1. оплату проектно-изыскательских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3.1.3.2. оплату строительно-монтажных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3.1.3.3. оплату услуг Застройщика,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орга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низации строительного процесса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по привлечению денежных средств кредитных организаций и/или третьих лиц, в том числе затрат по оплате сумм за пользование денежными средствами и затрат по погашению заемных средств,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лученных с целью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на оплату рекламы;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вознаграждений агентов и т.п.;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3.1.3.4. оплату иных расходов,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</w:t>
      </w:r>
      <w:r w:rsidR="00A1531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 получить разрешение на ввод Жилого дома /секции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3.1.5. Обеспечить передачу Объекта долевого строительства Участ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нику в срок, согласно пункту 1.6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</w:t>
      </w:r>
      <w:r w:rsidR="007C358D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срок не позднее 14 (четырнадцати) календарных дней до планируемой даты передачи 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3.1.6. Обеспечить сохранность 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 передачи его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ежит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со ст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атьей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290 Г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ражданского кодекса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участникам долевого строительства на пр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аве общей долевой собственности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пропорционально занимаемым ими площадям.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3.2. Застройщик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 по строительству (созданию)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заключать любые необходимые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сделки и договоры, в том числе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связанные с привлечением денежных средст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для строительства (создания)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вносить изменения в проектную документацию в порядке, установленном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3.2.2. С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амостоятельно вносить в Проект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завершении строительства Жилого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3.2.3.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остроить Объект долевого строительств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а, получить разрешение на ввод Жилого дома и/или очереди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эксплуатацию, а также вправе передать Объект долевого строительства ранее срока, установленного Договором.</w:t>
      </w:r>
    </w:p>
    <w:p w:rsidR="00116EC3" w:rsidRPr="009C055F" w:rsidRDefault="005A28B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3.2.4. В силу статьи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36 Жилищного Кодекса не относятся к местам общего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льзования и к общему имуществу Ж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3.2.5.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3.2.6.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Уд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ерживать Объект долевого строительства, подлежащий передаче Участнику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 Участника имеется просроченная задолженность по Договору.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3.3. Участник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3.3.1. Получать от Застройщика информацию о ходе строительства и использовании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предназначенных для этих целей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денежных средств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3.3.2. Получить Объект долевого строительства, определенный условиями настоящего Договора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полной оплаты его стоимости и выполнения всех своих обязательств по уплате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3.3.3. Требовать расторжения настоящего Договора в случаях и в порядке, предусмотренных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3.4. Участник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3.4.1. </w:t>
      </w:r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Внести денежные средства в счет уплаты цены договора участия в долевом строительстве на счет </w:t>
      </w:r>
      <w:proofErr w:type="spellStart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эскроу</w:t>
      </w:r>
      <w:proofErr w:type="spellEnd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открытый в банке, с которым застройщик заключил кредитный договор, в объеме и порядке,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:rsidR="00116EC3" w:rsidRPr="009C055F" w:rsidRDefault="00116EC3" w:rsidP="00116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3.4.3. Не позднее 5 (Пяти) дней с момента получения уведомления от Застройщ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ика о завершении строительства Жилого дома и/или 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илого дома и о готовности Застройщика к передаче Объекта долевого строительства, приступить к приемке Объекта </w:t>
      </w:r>
      <w:r w:rsidR="00A92513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</w:t>
      </w:r>
      <w:proofErr w:type="gramStart"/>
      <w:r w:rsidR="00A9251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A92513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  <w:t>и завершить его приёмку в течение 5 (Пяти) дней с момента начала приёмки с подписанием соответствующего передаточного акта.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3.4.4. Участник вправе отказаться о принятия Объекта и подписания Акта приема передачи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 этом Стороны учитывают то</w:t>
      </w:r>
      <w:r w:rsidR="002635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факт, что получение Застройщиком Разрешения на ввод объекта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проектной документации</w:t>
      </w:r>
      <w:proofErr w:type="gram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иным обязательным требованиям, а также подтверждает отсутствие при создании Объекта каких-либо существенных недостатков.</w:t>
      </w:r>
    </w:p>
    <w:p w:rsidR="00B03B25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3.4.5. В случае,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выявленные Участником несоответствия Объекта не относя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тся к существенным недостаткам (п. 3.4.4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Акта приема передачи в соответствии с условиями настоящего Договора и подлежит устранению Застройщиком в рамках гарантийного срока Объекта, указанного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статье 4 настоящего Договора, после передачи Объекта Участнику в соответствии с условиями настоящего Договора.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Отказ Участника от принятия Объекта и подписания Акта приема передачи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объекта в эксплуатацию жилого дома и получения Участником Уведомления о готовности от Застройщика согласно п.3.1.5 настоящего Договора, признается Сторонами как уклонение Участника от принятия Объекта и подписания Акта приема передачи.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3.4.6. При уклонении либо при отказе Участника от принятия Объекта (за исключением случая, указанного в п.3.4.4 настоящего Договора) и подписания Акта приема передачи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Застройщик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истечении двух месяцев со дня, предусмотренного Договором для передачи Объекта Участнику,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Уведомления о готовности, либо оператором почтовой связи заказное письмо возвращено с сообщение об отказе Участника от его получения, или в связи с отсутствием Участника по указанному им почтовому адресу.</w:t>
      </w:r>
    </w:p>
    <w:p w:rsidR="00116EC3" w:rsidRPr="009C055F" w:rsidRDefault="00A95F6B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3.4.7.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признаются перешедшими к Участнику в полном объеме с момента составления акта сдачи-приёмки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подписанного Сторонами, либо с момента составления Застройщиком одностороннего акта о передаче Объекта долевого строительства Участнику.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язательств, связанных с текущей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эксплуатацией и обслуживанием О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организациями).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 Гарантии качества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устанавливается 5 (пять) лет. </w:t>
      </w:r>
      <w:r w:rsidRPr="009C055F">
        <w:rPr>
          <w:rFonts w:ascii="Times New Roman" w:eastAsia="Calibri" w:hAnsi="Times New Roman" w:cs="Times New Roman"/>
          <w:sz w:val="20"/>
          <w:szCs w:val="20"/>
        </w:rPr>
        <w:t>Гарантийный срок на отделочные работы</w:t>
      </w:r>
      <w:r w:rsidR="004103C6" w:rsidRPr="009C055F">
        <w:rPr>
          <w:rFonts w:ascii="Times New Roman" w:eastAsia="Calibri" w:hAnsi="Times New Roman" w:cs="Times New Roman"/>
          <w:sz w:val="20"/>
          <w:szCs w:val="20"/>
        </w:rPr>
        <w:t xml:space="preserve"> в случае, если такие работы предусмотрены договором,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устанавливается 1 (один) год. Указанные гарантийные сроки исчисляются со дня передачи Объекта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но не более срока, установленного производителем на оборудование и материалы.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116EC3" w:rsidRPr="009C055F" w:rsidRDefault="00116EC3" w:rsidP="00A95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4.3. Застройщик вправе при 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невыполнении Участником п. 3.4.10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4.4.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ленной У</w:t>
      </w:r>
      <w:r w:rsidRPr="009C055F">
        <w:rPr>
          <w:rFonts w:ascii="Times New Roman" w:eastAsia="Calibri" w:hAnsi="Times New Roman" w:cs="Times New Roman"/>
          <w:sz w:val="20"/>
          <w:szCs w:val="20"/>
        </w:rPr>
        <w:t>частнику долевого строительства инструкцией по эксплуатации объекта долевого строительства правил и условий эффективно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го и безопасного использования О</w:t>
      </w:r>
      <w:r w:rsidRPr="009C055F">
        <w:rPr>
          <w:rFonts w:ascii="Times New Roman" w:eastAsia="Calibri" w:hAnsi="Times New Roman" w:cs="Times New Roman"/>
          <w:sz w:val="20"/>
          <w:szCs w:val="2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2" w:name="Par179"/>
      <w:bookmarkEnd w:id="2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5.3.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5.4. В случае нарушения предусмотренного договором срока передачи Участнику объекта долевого строительства Застройщик несет ответственность согласно действующему законодательству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5.5. Срок выплаты неустойки (пени) за просрочку исполнения обязательства по настоящему Договору в добровольном порядке устанавливается – в течение 30 (тридцати) календарных дней, с момента получения соответствующего требования. Сторона, выдвинувшая требования об уплате неустойки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должна предоставить соответствующий расчет и банковские реквизиты для перечисления денежных средств с указанием получателя.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5.6.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 прекращает свое действие.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201"/>
      <w:bookmarkStart w:id="4" w:name="Par311"/>
      <w:bookmarkEnd w:id="3"/>
      <w:bookmarkEnd w:id="4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Особые условия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ровок в проектную документацию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порядке, предусмотренном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 Срок действия Договора. Расторжение Договора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7.1. Настоящий Договор стан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овится обязательным для Сторон,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7.2. Стороны вправе расторгнуть настоящий договор в порядке и случаях, предусмотренных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аничиваясь: расходы на рекламу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выплата вознаграждений третьим лицам, государственная пошлина за регистрацию договора, прочие расходы, понесенные с целью заключения настоящего Договора), в сумме равной фактически понесенным расходам Застройщика.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этом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:rsidR="00116EC3" w:rsidRPr="009C055F" w:rsidRDefault="0062608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7.5. Указанную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пункте 7.4. настоящего договора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сумму Участник обязуется перечислить на расчетный счет Застройщика в течение 10 (Десяти) рабочих дней с момента расторжения настоящего Договора/ отказа от исполнения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7.6.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 условиями настоящего Договора в полном объеме обусловл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енной настоящим Договором цены или перевода долга оставшейся к оплате стоимости договора,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исключительно с письменного согласия Застройщика и до момента передачи Объекта Участнику в порядке, установленном настоящим Договором и законодательством Российской Федерации.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:rsidR="00116EC3" w:rsidRPr="00A92513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</w:pPr>
      <w:bookmarkStart w:id="5" w:name="_GoBack"/>
      <w:r w:rsidRPr="00A92513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  <w:t>Все последующие уступки прав</w:t>
      </w:r>
      <w:r w:rsidR="00990590" w:rsidRPr="00A92513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  <w:t xml:space="preserve"> требований, совершаемые новым У</w:t>
      </w:r>
      <w:r w:rsidRPr="00A92513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  <w:t>частником долевого строительства (далее – «Новый Участник»), осуществляются при условии письменного согласия Застройщика.</w:t>
      </w:r>
    </w:p>
    <w:p w:rsidR="00116EC3" w:rsidRPr="00A92513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</w:pPr>
      <w:r w:rsidRPr="00A92513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ru-RU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bookmarkEnd w:id="5"/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7.7.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7.8. Уведомление, извещение или сообщение, направленные одной из Сторон в адрес другой Стороны, по реквизитам и адресу, указанным в настоящем Договоре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7.9. В случае изменения реквизитов Стороны Договора обязаны в 5-ти </w:t>
      </w:r>
      <w:proofErr w:type="spell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дневный</w:t>
      </w:r>
      <w:proofErr w:type="spell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срок уведомить об этом друг друга.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7.10.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7.11.</w:t>
      </w:r>
      <w:r w:rsidR="00922A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Настоящий договор составлен в 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-х экземплярах, имеющих равную юридическую силу, один - для З</w:t>
      </w:r>
      <w:r w:rsidR="005273C9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стройщика, один - для Участника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один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</w:t>
      </w:r>
      <w:r w:rsidR="00A0615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ПАО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«Сбербанк России»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FA05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Согласие Участника на обработку персональных данных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 Участника, на обработку которых дается согласие субъекта персональных данных, входят: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адреса места жительства и регистрации по месту жительства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Участника (при наличии).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116EC3" w:rsidRPr="009C055F" w:rsidRDefault="00626086" w:rsidP="00FA05A2">
      <w:pPr>
        <w:numPr>
          <w:ilvl w:val="1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способов обработки: сбор,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в течение которого действует согласие Участника на обработку его персональных данных</w:t>
      </w:r>
      <w:r w:rsidR="00626086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договору: 7 (семь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 с момента подписания настоящего договора Сторонами.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:rsidR="00116EC3" w:rsidRPr="009C055F" w:rsidRDefault="00116EC3" w:rsidP="00FA05A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Приложения:</w:t>
      </w:r>
    </w:p>
    <w:p w:rsidR="00626086" w:rsidRPr="009C055F" w:rsidRDefault="00116EC3" w:rsidP="00E7274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 местоположения Объекта долевого строительства на этаже (Приложение №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26086" w:rsidRPr="009C055F" w:rsidRDefault="00626086" w:rsidP="00116EC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62608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Реквизиты и подписи сторон.</w:t>
      </w:r>
    </w:p>
    <w:p w:rsidR="00626086" w:rsidRPr="009C055F" w:rsidRDefault="00626086" w:rsidP="00626086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4820"/>
      </w:tblGrid>
      <w:tr w:rsidR="00116EC3" w:rsidRPr="009C055F" w:rsidTr="00C77963">
        <w:trPr>
          <w:trHeight w:val="3289"/>
        </w:trPr>
        <w:tc>
          <w:tcPr>
            <w:tcW w:w="5662" w:type="dxa"/>
          </w:tcPr>
          <w:p w:rsidR="00116EC3" w:rsidRPr="009C055F" w:rsidRDefault="00116EC3" w:rsidP="002E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Застройщик: 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r w:rsidR="002F135D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компаний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«ЦЕНТР»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Адрес: 428003, Чувашская Республика,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Б.С. Маркова, дом 8, корпус 3, помещение 1, офис 3</w:t>
            </w:r>
          </w:p>
          <w:p w:rsidR="002F135D" w:rsidRPr="009C055F" w:rsidRDefault="002D0183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ОГРН: 11821300</w:t>
            </w:r>
            <w:r w:rsidR="002F135D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04792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получателя: 2130200533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получателя: 213001001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Расчетный счет №40702810075000006452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Чувашском отделении №8613 ПАО Сбербанк,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пр. Московский, дом 3,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К/счет банка получателя: №30101810300000000609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банка получателя: 049706609</w:t>
            </w:r>
          </w:p>
          <w:p w:rsidR="00116EC3" w:rsidRPr="009C055F" w:rsidRDefault="007F191A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591A2A"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16EC3" w:rsidRPr="009C055F" w:rsidRDefault="00116EC3" w:rsidP="00391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4" w:hanging="142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Участник: </w:t>
            </w:r>
          </w:p>
          <w:p w:rsidR="00C77963" w:rsidRPr="00B0054E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="006B5CA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ФИО участника</w:t>
            </w: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, </w:t>
            </w:r>
          </w:p>
          <w:p w:rsidR="00C77963" w:rsidRPr="00B0054E" w:rsidRDefault="00C77963" w:rsidP="00C77963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Адрес: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</w:t>
            </w:r>
            <w:r w:rsidR="00922A6B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0133EE" w:rsidRDefault="00C77963" w:rsidP="006B5CA9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Паспорт: 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</w:p>
          <w:p w:rsidR="00F13908" w:rsidRDefault="00922A6B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</w:t>
            </w:r>
            <w:r w:rsidR="00C77963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ел: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  <w:r w:rsidR="00F13908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F13908" w:rsidRDefault="00F13908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F13908" w:rsidRPr="00B0054E" w:rsidRDefault="00F13908" w:rsidP="00F1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_______________________/ </w:t>
            </w: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116EC3" w:rsidRPr="009C055F" w:rsidRDefault="00116EC3" w:rsidP="006B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62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sectPr w:rsidR="00116EC3" w:rsidRPr="009C055F" w:rsidSect="008570DB">
      <w:headerReference w:type="default" r:id="rId8"/>
      <w:footerReference w:type="even" r:id="rId9"/>
      <w:pgSz w:w="11907" w:h="16840" w:code="9"/>
      <w:pgMar w:top="709" w:right="567" w:bottom="567" w:left="851" w:header="567" w:footer="2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5" w:rsidRDefault="00792525">
      <w:pPr>
        <w:spacing w:after="0" w:line="240" w:lineRule="auto"/>
      </w:pPr>
      <w:r>
        <w:separator/>
      </w:r>
    </w:p>
  </w:endnote>
  <w:endnote w:type="continuationSeparator" w:id="0">
    <w:p w:rsidR="00792525" w:rsidRDefault="0079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7C" w:rsidRDefault="007371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E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EC3">
      <w:rPr>
        <w:rStyle w:val="a9"/>
      </w:rPr>
      <w:t>2</w:t>
    </w:r>
    <w:r>
      <w:rPr>
        <w:rStyle w:val="a9"/>
      </w:rPr>
      <w:fldChar w:fldCharType="end"/>
    </w:r>
  </w:p>
  <w:p w:rsidR="000B087C" w:rsidRDefault="0079252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5" w:rsidRDefault="00792525">
      <w:pPr>
        <w:spacing w:after="0" w:line="240" w:lineRule="auto"/>
      </w:pPr>
      <w:r>
        <w:separator/>
      </w:r>
    </w:p>
  </w:footnote>
  <w:footnote w:type="continuationSeparator" w:id="0">
    <w:p w:rsidR="00792525" w:rsidRDefault="0079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7C" w:rsidRDefault="00792525">
    <w:pPr>
      <w:pStyle w:val="a5"/>
      <w:framePr w:wrap="around" w:vAnchor="text" w:hAnchor="margin" w:xAlign="center" w:y="1"/>
      <w:rPr>
        <w:rStyle w:val="a9"/>
      </w:rPr>
    </w:pPr>
  </w:p>
  <w:p w:rsidR="000B087C" w:rsidRDefault="00792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784"/>
    <w:multiLevelType w:val="multilevel"/>
    <w:tmpl w:val="8F6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11A"/>
    <w:rsid w:val="00007F62"/>
    <w:rsid w:val="000121AC"/>
    <w:rsid w:val="000133EE"/>
    <w:rsid w:val="00047435"/>
    <w:rsid w:val="0005244D"/>
    <w:rsid w:val="00060A1D"/>
    <w:rsid w:val="000A2C1C"/>
    <w:rsid w:val="000A3742"/>
    <w:rsid w:val="000F3954"/>
    <w:rsid w:val="00102B94"/>
    <w:rsid w:val="001063D5"/>
    <w:rsid w:val="00106BA4"/>
    <w:rsid w:val="0011292F"/>
    <w:rsid w:val="00116902"/>
    <w:rsid w:val="00116EC3"/>
    <w:rsid w:val="00130665"/>
    <w:rsid w:val="001656C6"/>
    <w:rsid w:val="001D6F48"/>
    <w:rsid w:val="001F1280"/>
    <w:rsid w:val="00200DFD"/>
    <w:rsid w:val="00207ABA"/>
    <w:rsid w:val="00220C95"/>
    <w:rsid w:val="00240CC8"/>
    <w:rsid w:val="00240D19"/>
    <w:rsid w:val="002635C6"/>
    <w:rsid w:val="0026611A"/>
    <w:rsid w:val="0027656A"/>
    <w:rsid w:val="002842F0"/>
    <w:rsid w:val="002A76DB"/>
    <w:rsid w:val="002B5586"/>
    <w:rsid w:val="002C038F"/>
    <w:rsid w:val="002D0183"/>
    <w:rsid w:val="002D22C8"/>
    <w:rsid w:val="002D4B0A"/>
    <w:rsid w:val="002E36B2"/>
    <w:rsid w:val="002F135D"/>
    <w:rsid w:val="002F3F0F"/>
    <w:rsid w:val="0031354E"/>
    <w:rsid w:val="0032303C"/>
    <w:rsid w:val="0033270C"/>
    <w:rsid w:val="00344CA3"/>
    <w:rsid w:val="00350E82"/>
    <w:rsid w:val="003558C6"/>
    <w:rsid w:val="003619F4"/>
    <w:rsid w:val="003702C6"/>
    <w:rsid w:val="00391412"/>
    <w:rsid w:val="00393A28"/>
    <w:rsid w:val="003B772E"/>
    <w:rsid w:val="003F24CA"/>
    <w:rsid w:val="003F7819"/>
    <w:rsid w:val="00400845"/>
    <w:rsid w:val="0040275F"/>
    <w:rsid w:val="004103C6"/>
    <w:rsid w:val="00455978"/>
    <w:rsid w:val="0048012A"/>
    <w:rsid w:val="00480EEA"/>
    <w:rsid w:val="004B2DC7"/>
    <w:rsid w:val="004C2C46"/>
    <w:rsid w:val="004C3034"/>
    <w:rsid w:val="004F3D85"/>
    <w:rsid w:val="004F6FCC"/>
    <w:rsid w:val="00512882"/>
    <w:rsid w:val="00515653"/>
    <w:rsid w:val="00522CCD"/>
    <w:rsid w:val="005273C9"/>
    <w:rsid w:val="00537069"/>
    <w:rsid w:val="005404C0"/>
    <w:rsid w:val="00547A5C"/>
    <w:rsid w:val="0055361B"/>
    <w:rsid w:val="00553EB6"/>
    <w:rsid w:val="00561BA9"/>
    <w:rsid w:val="00562EA0"/>
    <w:rsid w:val="005707D5"/>
    <w:rsid w:val="00585CF1"/>
    <w:rsid w:val="005901C2"/>
    <w:rsid w:val="00591A2A"/>
    <w:rsid w:val="005A28B6"/>
    <w:rsid w:val="005A513D"/>
    <w:rsid w:val="005C6662"/>
    <w:rsid w:val="005D252E"/>
    <w:rsid w:val="005D67D4"/>
    <w:rsid w:val="005E36C4"/>
    <w:rsid w:val="005F4A19"/>
    <w:rsid w:val="00602B86"/>
    <w:rsid w:val="006050C3"/>
    <w:rsid w:val="00613266"/>
    <w:rsid w:val="00626086"/>
    <w:rsid w:val="0065219F"/>
    <w:rsid w:val="006557B7"/>
    <w:rsid w:val="006670C9"/>
    <w:rsid w:val="006755E8"/>
    <w:rsid w:val="00675E8E"/>
    <w:rsid w:val="0068483B"/>
    <w:rsid w:val="006A7BA2"/>
    <w:rsid w:val="006B228C"/>
    <w:rsid w:val="006B5CA9"/>
    <w:rsid w:val="006C48D0"/>
    <w:rsid w:val="0070364F"/>
    <w:rsid w:val="00705622"/>
    <w:rsid w:val="0071055D"/>
    <w:rsid w:val="00720FE9"/>
    <w:rsid w:val="00723C5E"/>
    <w:rsid w:val="0072771D"/>
    <w:rsid w:val="0073648F"/>
    <w:rsid w:val="007371F8"/>
    <w:rsid w:val="00757C87"/>
    <w:rsid w:val="00757EB4"/>
    <w:rsid w:val="007810F3"/>
    <w:rsid w:val="007818B2"/>
    <w:rsid w:val="00792525"/>
    <w:rsid w:val="007A1BA1"/>
    <w:rsid w:val="007B0ED5"/>
    <w:rsid w:val="007B1068"/>
    <w:rsid w:val="007C358D"/>
    <w:rsid w:val="007F191A"/>
    <w:rsid w:val="00814EDE"/>
    <w:rsid w:val="00817D50"/>
    <w:rsid w:val="0083659B"/>
    <w:rsid w:val="008570DB"/>
    <w:rsid w:val="008616A2"/>
    <w:rsid w:val="00895A16"/>
    <w:rsid w:val="008B1788"/>
    <w:rsid w:val="008C1629"/>
    <w:rsid w:val="008E4AA9"/>
    <w:rsid w:val="008F1703"/>
    <w:rsid w:val="008F20CC"/>
    <w:rsid w:val="008F58D5"/>
    <w:rsid w:val="0090038B"/>
    <w:rsid w:val="00901D45"/>
    <w:rsid w:val="00910B9D"/>
    <w:rsid w:val="00913F81"/>
    <w:rsid w:val="00922A6B"/>
    <w:rsid w:val="00926E5B"/>
    <w:rsid w:val="0094102C"/>
    <w:rsid w:val="00943255"/>
    <w:rsid w:val="0094492F"/>
    <w:rsid w:val="00952258"/>
    <w:rsid w:val="00955CAF"/>
    <w:rsid w:val="00957EF9"/>
    <w:rsid w:val="00967B21"/>
    <w:rsid w:val="00971D52"/>
    <w:rsid w:val="00990590"/>
    <w:rsid w:val="0099092C"/>
    <w:rsid w:val="00994584"/>
    <w:rsid w:val="009B57A4"/>
    <w:rsid w:val="009C055F"/>
    <w:rsid w:val="009C7B43"/>
    <w:rsid w:val="009D24B2"/>
    <w:rsid w:val="009D5338"/>
    <w:rsid w:val="009E0838"/>
    <w:rsid w:val="009F214C"/>
    <w:rsid w:val="00A06152"/>
    <w:rsid w:val="00A13190"/>
    <w:rsid w:val="00A15312"/>
    <w:rsid w:val="00A37C03"/>
    <w:rsid w:val="00A452C1"/>
    <w:rsid w:val="00A541C2"/>
    <w:rsid w:val="00A62D32"/>
    <w:rsid w:val="00A87015"/>
    <w:rsid w:val="00A87857"/>
    <w:rsid w:val="00A92513"/>
    <w:rsid w:val="00A95F6B"/>
    <w:rsid w:val="00AA34EF"/>
    <w:rsid w:val="00AB7E55"/>
    <w:rsid w:val="00AC385A"/>
    <w:rsid w:val="00AD00CE"/>
    <w:rsid w:val="00AE27FF"/>
    <w:rsid w:val="00AE43DF"/>
    <w:rsid w:val="00AE6FED"/>
    <w:rsid w:val="00AF7087"/>
    <w:rsid w:val="00B03B25"/>
    <w:rsid w:val="00B0476E"/>
    <w:rsid w:val="00B12618"/>
    <w:rsid w:val="00B21189"/>
    <w:rsid w:val="00B36533"/>
    <w:rsid w:val="00B50B18"/>
    <w:rsid w:val="00B56464"/>
    <w:rsid w:val="00B57CB3"/>
    <w:rsid w:val="00B60D7A"/>
    <w:rsid w:val="00B760E9"/>
    <w:rsid w:val="00B87A20"/>
    <w:rsid w:val="00B94B0C"/>
    <w:rsid w:val="00B96E58"/>
    <w:rsid w:val="00BA28CD"/>
    <w:rsid w:val="00BA6DB6"/>
    <w:rsid w:val="00BB199B"/>
    <w:rsid w:val="00BC691F"/>
    <w:rsid w:val="00BC70BF"/>
    <w:rsid w:val="00BE163F"/>
    <w:rsid w:val="00BE4E85"/>
    <w:rsid w:val="00BF5A33"/>
    <w:rsid w:val="00C01785"/>
    <w:rsid w:val="00C05135"/>
    <w:rsid w:val="00C10953"/>
    <w:rsid w:val="00C2564C"/>
    <w:rsid w:val="00C40C7C"/>
    <w:rsid w:val="00C445E0"/>
    <w:rsid w:val="00C70A51"/>
    <w:rsid w:val="00C716A6"/>
    <w:rsid w:val="00C77963"/>
    <w:rsid w:val="00C85C14"/>
    <w:rsid w:val="00C94811"/>
    <w:rsid w:val="00CA1B6D"/>
    <w:rsid w:val="00CA54F2"/>
    <w:rsid w:val="00CC2038"/>
    <w:rsid w:val="00CC7456"/>
    <w:rsid w:val="00CE70B9"/>
    <w:rsid w:val="00D00FC2"/>
    <w:rsid w:val="00D032DA"/>
    <w:rsid w:val="00D20723"/>
    <w:rsid w:val="00D31858"/>
    <w:rsid w:val="00D41131"/>
    <w:rsid w:val="00D425BF"/>
    <w:rsid w:val="00D45F9B"/>
    <w:rsid w:val="00D4694C"/>
    <w:rsid w:val="00D5551F"/>
    <w:rsid w:val="00D55DB7"/>
    <w:rsid w:val="00D742CF"/>
    <w:rsid w:val="00D83980"/>
    <w:rsid w:val="00D93939"/>
    <w:rsid w:val="00DB5FF5"/>
    <w:rsid w:val="00DC63A8"/>
    <w:rsid w:val="00DC6891"/>
    <w:rsid w:val="00DD010A"/>
    <w:rsid w:val="00DE14E4"/>
    <w:rsid w:val="00DE7A50"/>
    <w:rsid w:val="00E05D7F"/>
    <w:rsid w:val="00E13D13"/>
    <w:rsid w:val="00E25A4A"/>
    <w:rsid w:val="00E32981"/>
    <w:rsid w:val="00E47277"/>
    <w:rsid w:val="00E72747"/>
    <w:rsid w:val="00EA05A0"/>
    <w:rsid w:val="00EA414C"/>
    <w:rsid w:val="00EB5A87"/>
    <w:rsid w:val="00EC6EFC"/>
    <w:rsid w:val="00ED4F92"/>
    <w:rsid w:val="00EE2655"/>
    <w:rsid w:val="00EE4DE6"/>
    <w:rsid w:val="00F004B2"/>
    <w:rsid w:val="00F077B0"/>
    <w:rsid w:val="00F13908"/>
    <w:rsid w:val="00F169FA"/>
    <w:rsid w:val="00F20A8C"/>
    <w:rsid w:val="00F2571E"/>
    <w:rsid w:val="00F51556"/>
    <w:rsid w:val="00F54400"/>
    <w:rsid w:val="00F76C0C"/>
    <w:rsid w:val="00F93B8A"/>
    <w:rsid w:val="00F9620C"/>
    <w:rsid w:val="00F97D62"/>
    <w:rsid w:val="00FA05A2"/>
    <w:rsid w:val="00FA6C87"/>
    <w:rsid w:val="00FB1B2D"/>
    <w:rsid w:val="00FB61FB"/>
    <w:rsid w:val="00FC62E9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B3EC-FD72-4071-95AF-87C6C8B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B2"/>
  </w:style>
  <w:style w:type="paragraph" w:styleId="4">
    <w:name w:val="heading 4"/>
    <w:basedOn w:val="a"/>
    <w:next w:val="a"/>
    <w:link w:val="40"/>
    <w:uiPriority w:val="9"/>
    <w:unhideWhenUsed/>
    <w:qFormat/>
    <w:rsid w:val="00116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6EC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6EC3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16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C3"/>
  </w:style>
  <w:style w:type="paragraph" w:styleId="a7">
    <w:name w:val="footer"/>
    <w:basedOn w:val="a"/>
    <w:link w:val="a8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C3"/>
  </w:style>
  <w:style w:type="character" w:styleId="a9">
    <w:name w:val="page number"/>
    <w:rsid w:val="00116EC3"/>
    <w:rPr>
      <w:rFonts w:ascii="Courier New" w:hAnsi="Courier New"/>
      <w:sz w:val="20"/>
    </w:rPr>
  </w:style>
  <w:style w:type="character" w:styleId="aa">
    <w:name w:val="annotation reference"/>
    <w:rsid w:val="00116EC3"/>
    <w:rPr>
      <w:sz w:val="16"/>
      <w:szCs w:val="16"/>
    </w:rPr>
  </w:style>
  <w:style w:type="character" w:styleId="ab">
    <w:name w:val="Emphasis"/>
    <w:qFormat/>
    <w:rsid w:val="00116E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0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26086"/>
    <w:pPr>
      <w:ind w:left="720"/>
      <w:contextualSpacing/>
    </w:pPr>
  </w:style>
  <w:style w:type="paragraph" w:styleId="af">
    <w:name w:val="annotation subject"/>
    <w:basedOn w:val="a3"/>
    <w:next w:val="a3"/>
    <w:link w:val="af0"/>
    <w:uiPriority w:val="99"/>
    <w:semiHidden/>
    <w:unhideWhenUsed/>
    <w:rsid w:val="006B228C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6B228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B228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37069"/>
    <w:rPr>
      <w:color w:val="0563C1" w:themeColor="hyperlink"/>
      <w:u w:val="single"/>
    </w:rPr>
  </w:style>
  <w:style w:type="character" w:styleId="af3">
    <w:name w:val="Strong"/>
    <w:uiPriority w:val="22"/>
    <w:qFormat/>
    <w:rsid w:val="002F135D"/>
    <w:rPr>
      <w:b/>
      <w:bCs/>
    </w:rPr>
  </w:style>
  <w:style w:type="paragraph" w:customStyle="1" w:styleId="ConsNormal">
    <w:name w:val="ConsNormal"/>
    <w:rsid w:val="00585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C055F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9C05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4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E6C2-66E3-4358-B807-B224842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Ольга Федоровна</dc:creator>
  <cp:lastModifiedBy>Elena</cp:lastModifiedBy>
  <cp:revision>6</cp:revision>
  <cp:lastPrinted>2020-12-24T09:23:00Z</cp:lastPrinted>
  <dcterms:created xsi:type="dcterms:W3CDTF">2022-03-16T11:34:00Z</dcterms:created>
  <dcterms:modified xsi:type="dcterms:W3CDTF">2022-12-16T07:06:00Z</dcterms:modified>
</cp:coreProperties>
</file>