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160"/>
        <w:jc w:val="center"/>
        <w:rPr/>
      </w:pPr>
      <w:hyperlink r:id="rId2">
        <w:r>
          <w:rPr>
            <w:b/>
            <w:sz w:val="23"/>
            <w:szCs w:val="23"/>
          </w:rPr>
          <w:t>Договор</w:t>
        </w:r>
      </w:hyperlink>
      <w:r>
        <w:rPr>
          <w:b/>
          <w:sz w:val="23"/>
          <w:szCs w:val="23"/>
        </w:rPr>
        <w:t xml:space="preserve"> № ___________</w:t>
      </w:r>
    </w:p>
    <w:p>
      <w:pPr>
        <w:pStyle w:val="ConsPlusNormal"/>
        <w:jc w:val="center"/>
        <w:rPr/>
      </w:pPr>
      <w:r>
        <w:rPr>
          <w:b/>
          <w:sz w:val="23"/>
          <w:szCs w:val="23"/>
        </w:rPr>
        <w:t>участия в долевом строительстве нежилого здания</w:t>
      </w:r>
    </w:p>
    <w:p>
      <w:pPr>
        <w:pStyle w:val="ConsPlusNormal"/>
        <w:jc w:val="center"/>
        <w:rPr>
          <w:b/>
          <w:b/>
          <w:sz w:val="23"/>
          <w:szCs w:val="23"/>
        </w:rPr>
      </w:pPr>
      <w:r>
        <w:rPr>
          <w:b/>
          <w:sz w:val="23"/>
          <w:szCs w:val="23"/>
        </w:rPr>
      </w:r>
    </w:p>
    <w:p>
      <w:pPr>
        <w:pStyle w:val="ConsPlusNonformat"/>
        <w:jc w:val="both"/>
        <w:rPr/>
      </w:pPr>
      <w:r>
        <w:rPr>
          <w:rFonts w:cs="Times New Roman" w:ascii="Times New Roman" w:hAnsi="Times New Roman"/>
          <w:sz w:val="23"/>
          <w:szCs w:val="23"/>
        </w:rPr>
        <w:t xml:space="preserve">г. Ялта, Республика Крым                            </w:t>
        <w:tab/>
        <w:tab/>
        <w:tab/>
        <w:t xml:space="preserve">                   "____" ____________ 2022г.</w:t>
      </w:r>
    </w:p>
    <w:p>
      <w:pPr>
        <w:pStyle w:val="ConsPlusNormal"/>
        <w:ind w:firstLine="540"/>
        <w:jc w:val="both"/>
        <w:rPr>
          <w:sz w:val="23"/>
          <w:szCs w:val="23"/>
        </w:rPr>
      </w:pPr>
      <w:r>
        <w:rPr>
          <w:sz w:val="23"/>
          <w:szCs w:val="23"/>
        </w:rPr>
      </w:r>
    </w:p>
    <w:p>
      <w:pPr>
        <w:pStyle w:val="ConsPlusNormal"/>
        <w:jc w:val="both"/>
        <w:rPr/>
      </w:pPr>
      <w:r>
        <w:rPr>
          <w:b/>
          <w:sz w:val="22"/>
          <w:szCs w:val="22"/>
        </w:rPr>
        <w:t>Общество с ограниченной ответственностью «Специализированный застройщик  "ГРИН СИТИ",</w:t>
      </w:r>
      <w:r>
        <w:rPr>
          <w:sz w:val="22"/>
          <w:szCs w:val="22"/>
        </w:rPr>
        <w:t xml:space="preserve"> О</w:t>
      </w:r>
      <w:r>
        <w:rPr>
          <w:spacing w:val="-4"/>
          <w:sz w:val="22"/>
          <w:szCs w:val="22"/>
        </w:rPr>
        <w:t xml:space="preserve">ГРН 1149102114897, ИНН 9102055037, зарегистрировано: 298637, Республика Крым, г.о. Ялта, г Ялта, ул Красных Партизан, д. 14, офис 16-13, </w:t>
      </w:r>
      <w:r>
        <w:rPr>
          <w:sz w:val="22"/>
          <w:szCs w:val="22"/>
        </w:rPr>
        <w:t>именуемое в дальнейшем "Застройщик", в лице Директора Муравлева Александра Петровича, действующего на основании Устава, с одной стороны и __________________________________________________________</w:t>
      </w:r>
    </w:p>
    <w:p>
      <w:pPr>
        <w:pStyle w:val="ConsPlusNormal"/>
        <w:jc w:val="both"/>
        <w:rPr/>
      </w:pPr>
      <w:r>
        <w:rPr>
          <w:sz w:val="22"/>
          <w:szCs w:val="22"/>
        </w:rPr>
        <w:t>именуемый в дальнейшем "Участник", с другой стороны заключили настоящий Договор о нижеследующем:</w:t>
      </w:r>
    </w:p>
    <w:p>
      <w:pPr>
        <w:pStyle w:val="ConsPlusNormal"/>
        <w:numPr>
          <w:ilvl w:val="0"/>
          <w:numId w:val="0"/>
        </w:numPr>
        <w:jc w:val="center"/>
        <w:outlineLvl w:val="0"/>
        <w:rPr/>
      </w:pPr>
      <w:bookmarkStart w:id="0" w:name="Par30"/>
      <w:bookmarkEnd w:id="0"/>
      <w:r>
        <w:rPr>
          <w:b/>
          <w:sz w:val="22"/>
          <w:szCs w:val="22"/>
        </w:rPr>
        <w:t>1. ОБЩИЕ ПОЛОЖЕНИЯ</w:t>
      </w:r>
    </w:p>
    <w:p>
      <w:pPr>
        <w:pStyle w:val="Normal"/>
        <w:spacing w:lineRule="atLeast" w:line="240" w:before="0" w:after="0"/>
        <w:jc w:val="both"/>
        <w:rPr/>
      </w:pPr>
      <w:r>
        <w:rPr>
          <w:rFonts w:ascii="Times New Roman" w:hAnsi="Times New Roman"/>
        </w:rPr>
        <w:t xml:space="preserve"> </w:t>
      </w:r>
      <w:r>
        <w:rPr>
          <w:rFonts w:ascii="Times New Roman" w:hAnsi="Times New Roman"/>
        </w:rPr>
        <w:t>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pPr>
      <w:r>
        <w:rPr>
          <w:rFonts w:ascii="Times New Roman" w:hAnsi="Times New Roman"/>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pPr>
        <w:pStyle w:val="Normal"/>
        <w:spacing w:before="0" w:after="0"/>
        <w:jc w:val="both"/>
        <w:rPr/>
      </w:pPr>
      <w:r>
        <w:rPr>
          <w:rFonts w:ascii="Times New Roman" w:hAnsi="Times New Roman"/>
        </w:rPr>
        <w:t>- учредительные документы Застройщика;</w:t>
      </w:r>
    </w:p>
    <w:p>
      <w:pPr>
        <w:pStyle w:val="Normal"/>
        <w:spacing w:before="0" w:after="0"/>
        <w:jc w:val="both"/>
        <w:rPr/>
      </w:pPr>
      <w:r>
        <w:rPr>
          <w:rFonts w:ascii="Times New Roman" w:hAnsi="Times New Roman"/>
        </w:rPr>
        <w:t>- свидетельство о государственной регистрации Застройщика;</w:t>
      </w:r>
    </w:p>
    <w:p>
      <w:pPr>
        <w:pStyle w:val="Normal"/>
        <w:spacing w:before="0" w:after="0"/>
        <w:jc w:val="both"/>
        <w:rPr/>
      </w:pPr>
      <w:r>
        <w:rPr>
          <w:rFonts w:ascii="Times New Roman" w:hAnsi="Times New Roman"/>
        </w:rPr>
        <w:t>- свидетельство о постановке на учет в налоговом органе Застройщика;</w:t>
      </w:r>
    </w:p>
    <w:p>
      <w:pPr>
        <w:pStyle w:val="Normal"/>
        <w:spacing w:before="0" w:after="0"/>
        <w:jc w:val="both"/>
        <w:rPr/>
      </w:pPr>
      <w:r>
        <w:rPr>
          <w:rFonts w:ascii="Times New Roman" w:hAnsi="Times New Roman"/>
        </w:rPr>
        <w:t>-договор аренды земельного участка от 02.11.2016г., кадастровый № 90:25:010101:81;</w:t>
      </w:r>
    </w:p>
    <w:p>
      <w:pPr>
        <w:pStyle w:val="Normal"/>
        <w:spacing w:before="0" w:after="0"/>
        <w:jc w:val="both"/>
        <w:rPr/>
      </w:pPr>
      <w:r>
        <w:rPr>
          <w:rFonts w:ascii="Times New Roman" w:hAnsi="Times New Roman"/>
        </w:rPr>
        <w:t>- разрешение на строительство Объекта долевого строительства от 04 февраля 2022 года № 91-RU93311000-1704-2022;</w:t>
      </w:r>
    </w:p>
    <w:p>
      <w:pPr>
        <w:pStyle w:val="Normal"/>
        <w:spacing w:before="0" w:after="0"/>
        <w:jc w:val="both"/>
        <w:rPr/>
      </w:pPr>
      <w:r>
        <w:rPr>
          <w:rFonts w:ascii="Times New Roman" w:hAnsi="Times New Roman"/>
        </w:rPr>
        <w:t xml:space="preserve">-  проектная декларация № 91-000393 (дата первичного размещения 22.02.2022 года) в соответствии с Федеральным </w:t>
      </w:r>
      <w:hyperlink r:id="rId3">
        <w:r>
          <w:rPr>
            <w:rFonts w:ascii="Times New Roman" w:hAnsi="Times New Roman"/>
          </w:rPr>
          <w:t>законом</w:t>
        </w:r>
      </w:hyperlink>
      <w:r>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pPr>
      <w:r>
        <w:rPr>
          <w:rFonts w:ascii="Times New Roman" w:hAnsi="Times New Roman"/>
        </w:rPr>
        <w:t>- заключение экспертизы проектной документации № 91-2-1-3-004028-2022 от 27.01.2022г.</w:t>
      </w:r>
    </w:p>
    <w:p>
      <w:pPr>
        <w:pStyle w:val="Normal"/>
        <w:spacing w:before="0" w:after="0"/>
        <w:jc w:val="both"/>
        <w:rPr/>
      </w:pPr>
      <w:r>
        <w:rPr>
          <w:rFonts w:ascii="Times New Roman" w:hAnsi="Times New Roman"/>
        </w:rPr>
        <w:t>1.3. Объект - нежилое здание апарт-отеля по адресу Республика Крым, г. Ялта, ул. Дражинского, к/н 90:25:010101:81, строящийся (создаваемый) Застройщиком с привлечением денежных средств Депонентов в рамках разрешения на строительство № 91-RU93311000-1704-2022 от 04 февраля 2022г.</w:t>
      </w:r>
    </w:p>
    <w:p>
      <w:pPr>
        <w:pStyle w:val="Normal"/>
        <w:spacing w:before="0" w:after="0"/>
        <w:jc w:val="both"/>
        <w:rPr/>
      </w:pPr>
      <w:r>
        <w:rPr>
          <w:rFonts w:ascii="Times New Roman" w:hAnsi="Times New Roman"/>
        </w:rPr>
        <w:t>Характеристики объекта долевого строительства: нежилое здание общей проектной площадью 19 008,00 кв. м, количество этажей – 13, строительство которого будет осуществляться Застройщиком по адресу: Республика Крым, г. Ялта, ул. Дражинского, к/н 90:25:010101:81 на земельном участке площадью 4701 кв. м., кадастровый номер 90:25:010101:81;</w:t>
      </w:r>
    </w:p>
    <w:p>
      <w:pPr>
        <w:pStyle w:val="Normal"/>
        <w:spacing w:before="0" w:after="0"/>
        <w:jc w:val="both"/>
        <w:rPr/>
      </w:pPr>
      <w:r>
        <w:rPr>
          <w:rFonts w:ascii="Times New Roman" w:hAnsi="Times New Roman"/>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pPr>
      <w:r>
        <w:rPr>
          <w:rFonts w:ascii="Times New Roman" w:hAnsi="Times New Roman"/>
        </w:rPr>
        <w:t>- материал поэтажных перекрытий – монолитные железобетонные;</w:t>
      </w:r>
    </w:p>
    <w:p>
      <w:pPr>
        <w:pStyle w:val="Normal"/>
        <w:spacing w:before="0" w:after="0"/>
        <w:jc w:val="both"/>
        <w:rPr/>
      </w:pPr>
      <w:r>
        <w:rPr>
          <w:rFonts w:ascii="Times New Roman" w:hAnsi="Times New Roman"/>
        </w:rPr>
        <w:t>- класс энергоэффективности – не нормируется;</w:t>
      </w:r>
    </w:p>
    <w:p>
      <w:pPr>
        <w:pStyle w:val="Normal"/>
        <w:spacing w:before="0" w:after="0"/>
        <w:jc w:val="both"/>
        <w:rPr/>
      </w:pPr>
      <w:r>
        <w:rPr>
          <w:rFonts w:ascii="Times New Roman" w:hAnsi="Times New Roman"/>
        </w:rPr>
        <w:t>- класс сейсмостойкости – 8 баллов.</w:t>
      </w:r>
    </w:p>
    <w:p>
      <w:pPr>
        <w:pStyle w:val="Normal"/>
        <w:spacing w:before="0" w:after="0"/>
        <w:jc w:val="both"/>
        <w:rPr/>
      </w:pPr>
      <w:r>
        <w:rPr>
          <w:rFonts w:ascii="Times New Roman" w:hAnsi="Times New Roman"/>
        </w:rPr>
        <w:t>1.4. Участник долевого строительства (Участник)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pPr>
      <w:r>
        <w:rPr>
          <w:rFonts w:ascii="Times New Roman" w:hAnsi="Times New Roman"/>
        </w:rPr>
        <w:t>1.5. Проектная декларация - информация о Застройщике и информация о проекте строительства. Оригинал проектной декларации хранит Застройщик.</w:t>
      </w:r>
    </w:p>
    <w:p>
      <w:pPr>
        <w:pStyle w:val="Normal"/>
        <w:spacing w:before="0" w:after="0"/>
        <w:rPr/>
      </w:pPr>
      <w:r>
        <w:rPr>
          <w:rFonts w:ascii="Times New Roman" w:hAnsi="Times New Roman"/>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pPr>
      <w:r>
        <w:rPr>
          <w:rFonts w:ascii="Times New Roman" w:hAnsi="Times New Roman"/>
        </w:rPr>
        <w:t>1.7. Объект долевого строительства (Помещение) - нежилое помещение в Объекте, подлежащее передаче в собственность Участнику долевого строительства после ввода в эксплуатацию Объекта.</w:t>
      </w:r>
    </w:p>
    <w:p>
      <w:pPr>
        <w:pStyle w:val="Normal"/>
        <w:spacing w:before="0" w:after="0"/>
        <w:jc w:val="both"/>
        <w:rPr/>
      </w:pPr>
      <w:r>
        <w:rPr>
          <w:rFonts w:ascii="Times New Roman" w:hAnsi="Times New Roman"/>
        </w:rPr>
        <w:t>1.8. Эскроу-агент (Акцептант):</w:t>
      </w:r>
      <w:r>
        <w:rPr>
          <w:rFonts w:ascii="Times New Roman" w:hAnsi="Times New Roman"/>
          <w:b/>
        </w:rPr>
        <w:t xml:space="preserve"> </w:t>
      </w:r>
      <w:r>
        <w:rPr>
          <w:rFonts w:ascii="Times New Roman" w:hAnsi="Times New Roman"/>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pPr>
      <w:r>
        <w:rPr>
          <w:rFonts w:cs="Times New Roman" w:ascii="Times New Roman" w:hAnsi="Times New Roman"/>
        </w:rPr>
        <w:t>1.9. Настоящим Участник(-и)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pPr>
      <w:r>
        <w:rPr>
          <w:rFonts w:cs="Times New Roman" w:ascii="Times New Roman" w:hAnsi="Times New Roman"/>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pPr>
      <w:r>
        <w:rPr>
          <w:rFonts w:cs="Times New Roman" w:ascii="Times New Roman" w:hAnsi="Times New Roman"/>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pPr>
      <w:r>
        <w:rPr>
          <w:rFonts w:cs="Times New Roman" w:ascii="Times New Roman" w:hAnsi="Times New Roman"/>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Normal"/>
        <w:spacing w:before="0" w:after="0"/>
        <w:jc w:val="both"/>
        <w:rPr>
          <w:rFonts w:ascii="Times New Roman" w:hAnsi="Times New Roman"/>
        </w:rPr>
      </w:pPr>
      <w:r>
        <w:rPr>
          <w:rFonts w:ascii="Times New Roman" w:hAnsi="Times New Roman"/>
        </w:rPr>
      </w:r>
    </w:p>
    <w:p>
      <w:pPr>
        <w:pStyle w:val="ConsPlusNormal"/>
        <w:numPr>
          <w:ilvl w:val="0"/>
          <w:numId w:val="0"/>
        </w:numPr>
        <w:jc w:val="center"/>
        <w:outlineLvl w:val="0"/>
        <w:rPr/>
      </w:pPr>
      <w:r>
        <w:rPr>
          <w:b/>
          <w:sz w:val="22"/>
          <w:szCs w:val="22"/>
        </w:rPr>
        <w:t>2. ПРЕДМЕТ ДОГОВОРА</w:t>
      </w:r>
    </w:p>
    <w:p>
      <w:pPr>
        <w:pStyle w:val="Normal"/>
        <w:spacing w:lineRule="auto" w:line="240" w:before="0" w:after="0"/>
        <w:jc w:val="both"/>
        <w:rPr/>
      </w:pPr>
      <w:r>
        <w:rPr>
          <w:rFonts w:ascii="Times New Roman" w:hAnsi="Times New Roman"/>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4">
        <w:r>
          <w:rPr>
            <w:rFonts w:ascii="Times New Roman" w:hAnsi="Times New Roman"/>
          </w:rPr>
          <w:t>п. 2.2</w:t>
        </w:r>
      </w:hyperlink>
      <w:r>
        <w:rPr>
          <w:rFonts w:ascii="Times New Roman" w:hAnsi="Times New Roman"/>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pPr>
        <w:pStyle w:val="ConsPlusNormal"/>
        <w:jc w:val="both"/>
        <w:rPr/>
      </w:pPr>
      <w:r>
        <w:rPr>
          <w:sz w:val="22"/>
          <w:szCs w:val="22"/>
        </w:rPr>
        <w:t xml:space="preserve"> </w:t>
      </w:r>
      <w:r>
        <w:rPr>
          <w:sz w:val="22"/>
          <w:szCs w:val="22"/>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7"/>
        <w:gridCol w:w="15"/>
        <w:gridCol w:w="5081"/>
      </w:tblGrid>
      <w:tr>
        <w:trPr>
          <w:trHeight w:val="390" w:hRule="atLeast"/>
        </w:trPr>
        <w:tc>
          <w:tcPr>
            <w:tcW w:w="4972" w:type="dxa"/>
            <w:gridSpan w:val="2"/>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Тип объекта</w:t>
            </w:r>
          </w:p>
        </w:tc>
        <w:tc>
          <w:tcPr>
            <w:tcW w:w="5081" w:type="dxa"/>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Нежилое помещение</w:t>
            </w:r>
          </w:p>
        </w:tc>
      </w:tr>
      <w:tr>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Этаж</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highlight w:val="yellow"/>
              </w:rPr>
            </w:r>
          </w:p>
        </w:tc>
      </w:tr>
      <w:tr>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rPr>
                <w:rFonts w:cs="Times New Roman"/>
                <w:sz w:val="22"/>
                <w:szCs w:val="22"/>
              </w:rPr>
            </w:pPr>
            <w:r>
              <w:rPr>
                <w:rFonts w:cs="Times New Roman"/>
                <w:sz w:val="22"/>
                <w:szCs w:val="22"/>
              </w:rPr>
              <w:t xml:space="preserve">               </w:t>
            </w:r>
            <w:r>
              <w:rPr>
                <w:rFonts w:cs="Times New Roman"/>
                <w:sz w:val="22"/>
                <w:szCs w:val="22"/>
              </w:rPr>
              <w:t>Строительный номер  помещения</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Общая проектная площадь нежилого помещения в кв.м (с учётом проектной площади летних помещений)</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r>
          </w:p>
        </w:tc>
      </w:tr>
      <w:tr>
        <w:trPr>
          <w:trHeight w:val="390" w:hRule="atLeast"/>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 xml:space="preserve"> </w:t>
            </w:r>
            <w:r>
              <w:rPr>
                <w:rFonts w:cs="Times New Roman"/>
                <w:sz w:val="22"/>
                <w:szCs w:val="22"/>
              </w:rPr>
              <w:t>проектная площадь летних помещений (балконы, лоджии, террасы при наличии) в кв.м.</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sz w:val="22"/>
                <w:szCs w:val="22"/>
                <w:highlight w:val="yellow"/>
              </w:rPr>
            </w:pPr>
            <w:r>
              <w:rPr>
                <w:rFonts w:cs="Times New Roman"/>
                <w:sz w:val="22"/>
                <w:szCs w:val="22"/>
                <w:highlight w:val="yellow"/>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Внутреннее оснащение на момент сдачи Объекта</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Входная дверь. Остекление. Электрификация. Счетчики: вода, электричество. Перила на балконах (при наличии)</w:t>
            </w:r>
          </w:p>
          <w:p>
            <w:pPr>
              <w:pStyle w:val="1"/>
              <w:widowControl w:val="false"/>
              <w:snapToGrid w:val="false"/>
              <w:ind w:left="-142" w:firstLine="567"/>
              <w:jc w:val="center"/>
              <w:rPr>
                <w:rFonts w:cs="Times New Roman"/>
                <w:sz w:val="22"/>
                <w:szCs w:val="22"/>
              </w:rPr>
            </w:pPr>
            <w:r>
              <w:rPr>
                <w:rFonts w:cs="Times New Roman"/>
                <w:sz w:val="22"/>
                <w:szCs w:val="22"/>
              </w:rPr>
            </w:r>
          </w:p>
        </w:tc>
      </w:tr>
      <w:tr>
        <w:trPr>
          <w:trHeight w:val="329" w:hRule="atLeast"/>
        </w:trPr>
        <w:tc>
          <w:tcPr>
            <w:tcW w:w="4957"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sz w:val="22"/>
                <w:szCs w:val="22"/>
              </w:rPr>
            </w:pPr>
            <w:r>
              <w:rPr>
                <w:rFonts w:cs="Times New Roman"/>
                <w:sz w:val="22"/>
                <w:szCs w:val="22"/>
              </w:rPr>
              <w:t>Планировка/отделка</w:t>
            </w:r>
          </w:p>
        </w:tc>
        <w:tc>
          <w:tcPr>
            <w:tcW w:w="509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sz w:val="22"/>
                <w:szCs w:val="22"/>
              </w:rPr>
            </w:pPr>
            <w:r>
              <w:rPr>
                <w:rFonts w:cs="Times New Roman"/>
                <w:sz w:val="22"/>
                <w:szCs w:val="22"/>
              </w:rPr>
              <w:t>Свободная/без чистовой отделки</w:t>
            </w:r>
          </w:p>
        </w:tc>
      </w:tr>
    </w:tbl>
    <w:p>
      <w:pPr>
        <w:pStyle w:val="1"/>
        <w:ind w:left="8" w:hanging="0"/>
        <w:jc w:val="both"/>
        <w:rPr/>
      </w:pPr>
      <w:r>
        <w:rPr>
          <w:rFonts w:cs="Times New Roman"/>
          <w:sz w:val="22"/>
          <w:szCs w:val="22"/>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
        <w:ind w:left="8" w:hanging="0"/>
        <w:jc w:val="both"/>
        <w:rPr/>
      </w:pPr>
      <w:r>
        <w:rPr>
          <w:rFonts w:cs="Times New Roman"/>
          <w:sz w:val="22"/>
          <w:szCs w:val="22"/>
        </w:rPr>
        <w:t xml:space="preserve">2.4.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pPr>
        <w:pStyle w:val="1"/>
        <w:ind w:left="8" w:hanging="0"/>
        <w:jc w:val="both"/>
        <w:rPr/>
      </w:pPr>
      <w:r>
        <w:rPr>
          <w:rFonts w:cs="Times New Roman"/>
          <w:sz w:val="22"/>
          <w:szCs w:val="22"/>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Pr>
          <w:rFonts w:cs="Times New Roman"/>
          <w:sz w:val="22"/>
          <w:szCs w:val="22"/>
        </w:rPr>
        <w:t>.</w:t>
      </w:r>
      <w:bookmarkStart w:id="2" w:name="Par71"/>
      <w:bookmarkEnd w:id="2"/>
    </w:p>
    <w:p>
      <w:pPr>
        <w:pStyle w:val="1"/>
        <w:ind w:left="8" w:hanging="0"/>
        <w:jc w:val="both"/>
        <w:rPr/>
      </w:pPr>
      <w:r>
        <w:rPr>
          <w:rFonts w:cs="Times New Roman"/>
          <w:sz w:val="22"/>
          <w:szCs w:val="22"/>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5">
        <w:r>
          <w:rPr>
            <w:rFonts w:cs="Times New Roman"/>
            <w:sz w:val="22"/>
            <w:szCs w:val="22"/>
          </w:rPr>
          <w:t>акту</w:t>
        </w:r>
      </w:hyperlink>
      <w:r>
        <w:rPr>
          <w:rFonts w:cs="Times New Roman"/>
          <w:sz w:val="22"/>
          <w:szCs w:val="22"/>
        </w:rPr>
        <w:t xml:space="preserve"> несет Застройщик.</w:t>
      </w:r>
    </w:p>
    <w:p>
      <w:pPr>
        <w:pStyle w:val="1"/>
        <w:ind w:left="8" w:hanging="0"/>
        <w:jc w:val="both"/>
        <w:rPr>
          <w:rFonts w:cs="Times New Roman"/>
          <w:sz w:val="22"/>
          <w:szCs w:val="22"/>
        </w:rPr>
      </w:pPr>
      <w:r>
        <w:rPr>
          <w:rFonts w:cs="Times New Roman"/>
          <w:sz w:val="22"/>
          <w:szCs w:val="22"/>
        </w:rPr>
      </w:r>
    </w:p>
    <w:p>
      <w:pPr>
        <w:pStyle w:val="Normal"/>
        <w:spacing w:lineRule="auto" w:line="240" w:before="0" w:after="0"/>
        <w:jc w:val="center"/>
        <w:rPr/>
      </w:pPr>
      <w:r>
        <w:rPr>
          <w:rFonts w:ascii="Times New Roman" w:hAnsi="Times New Roman"/>
          <w:b/>
        </w:rPr>
        <w:t>3. ЦЕНА ДОГОВОРА И ПОРЯДОК ОПЛАТЫ</w:t>
      </w:r>
    </w:p>
    <w:p>
      <w:pPr>
        <w:pStyle w:val="Normal"/>
        <w:spacing w:before="0" w:after="0"/>
        <w:jc w:val="both"/>
        <w:rPr/>
      </w:pPr>
      <w:bookmarkStart w:id="3" w:name="p32"/>
      <w:bookmarkEnd w:id="3"/>
      <w:r>
        <w:rPr>
          <w:rFonts w:ascii="Times New Roman" w:hAnsi="Times New Roman"/>
        </w:rPr>
        <w:t xml:space="preserve">3.1. Стоимость нежилого помещения по настоящему Договору составляет </w:t>
      </w:r>
      <w:r>
        <w:rPr>
          <w:rFonts w:ascii="Times New Roman" w:hAnsi="Times New Roman"/>
          <w:b/>
        </w:rPr>
        <w:t xml:space="preserve">___________,00 (_____________________________) рублей 00 копеек в том числе НДС 20% </w:t>
      </w:r>
      <w:r>
        <w:rPr>
          <w:rFonts w:ascii="Times New Roman" w:hAnsi="Times New Roman"/>
        </w:rPr>
        <w:t xml:space="preserve">исходя из расчёта стоимости одного квадратного метра, которая составляет __________,00 (_____________ тысяч) рублей 00 копеек и общей площади нежилого помещения, указанной в 2.2. настоящего Договора. </w:t>
      </w:r>
    </w:p>
    <w:p>
      <w:pPr>
        <w:pStyle w:val="Normal"/>
        <w:spacing w:before="0" w:after="0"/>
        <w:jc w:val="both"/>
        <w:rPr/>
      </w:pPr>
      <w:r>
        <w:rPr>
          <w:rFonts w:ascii="Times New Roman" w:hAnsi="Times New Roman"/>
        </w:rPr>
        <w:t xml:space="preserve">3.2. В сумму, указанную в </w:t>
      </w:r>
      <w:hyperlink w:anchor="p32">
        <w:r>
          <w:rPr>
            <w:rFonts w:ascii="Times New Roman" w:hAnsi="Times New Roman"/>
          </w:rPr>
          <w:t>п. 3.1</w:t>
        </w:r>
      </w:hyperlink>
      <w:r>
        <w:rPr>
          <w:rFonts w:ascii="Times New Roman" w:hAnsi="Times New Roman"/>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lineRule="atLeast" w:line="240" w:before="0" w:after="0"/>
        <w:jc w:val="both"/>
        <w:rPr/>
      </w:pPr>
      <w:r>
        <w:rPr>
          <w:rFonts w:ascii="Times New Roman" w:hAnsi="Times New Roman"/>
        </w:rPr>
        <w:t xml:space="preserve">3.3. Участник (Депонент) обязуется внести денежные средства (депонируемую сумму) согласно п. 3.1. настоящего Договора в счет уплаты цены настоящего Договора на специальный счет эскроу в срок указанный в п.1.12. настоящего Договора,  но в любом случае не позднее 3 (Третьего) рабочего дня, предшествующего предполагаемой дате ввода в эксплуатацию,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2"/>
          <w:numId w:val="2"/>
        </w:numPr>
        <w:spacing w:lineRule="atLeast" w:line="240" w:before="0" w:after="0"/>
        <w:contextualSpacing/>
        <w:jc w:val="both"/>
        <w:rPr/>
      </w:pPr>
      <w:r>
        <w:rPr>
          <w:rFonts w:ascii="Times New Roman" w:hAnsi="Times New Roman"/>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2"/>
          <w:numId w:val="2"/>
        </w:numPr>
        <w:spacing w:lineRule="atLeast" w:line="240" w:before="0" w:after="0"/>
        <w:contextualSpacing/>
        <w:jc w:val="both"/>
        <w:rPr/>
      </w:pPr>
      <w:r>
        <w:rPr>
          <w:rFonts w:ascii="Times New Roman" w:hAnsi="Times New Roman"/>
        </w:rPr>
        <w:t xml:space="preserve">Участник/Депонент: _________________ (Ф.И.О./наименование Депонента) </w:t>
      </w:r>
    </w:p>
    <w:p>
      <w:pPr>
        <w:pStyle w:val="ListParagraph"/>
        <w:numPr>
          <w:ilvl w:val="2"/>
          <w:numId w:val="2"/>
        </w:numPr>
        <w:spacing w:lineRule="atLeast" w:line="240" w:before="0" w:after="0"/>
        <w:contextualSpacing/>
        <w:jc w:val="both"/>
        <w:rPr/>
      </w:pPr>
      <w:r>
        <w:rPr>
          <w:rFonts w:ascii="Times New Roman" w:hAnsi="Times New Roman"/>
        </w:rPr>
        <w:t xml:space="preserve">Застройщик/Бенефициар: </w:t>
      </w:r>
      <w:r>
        <w:rPr>
          <w:rFonts w:ascii="Times New Roman" w:hAnsi="Times New Roman"/>
          <w:sz w:val="23"/>
          <w:szCs w:val="23"/>
        </w:rPr>
        <w:t>«Специализированный застройщик  "ГРИН СИТИ", ИНН 9102055037</w:t>
      </w:r>
      <w:r>
        <w:rPr>
          <w:rFonts w:ascii="Times New Roman" w:hAnsi="Times New Roman"/>
        </w:rPr>
        <w:t xml:space="preserve"> ________________ (наименование Бенефициара, реквизиты счета для зачисления Депонируемой суммы) </w:t>
      </w:r>
    </w:p>
    <w:p>
      <w:pPr>
        <w:pStyle w:val="ListParagraph"/>
        <w:numPr>
          <w:ilvl w:val="2"/>
          <w:numId w:val="2"/>
        </w:numPr>
        <w:spacing w:lineRule="atLeast" w:line="240" w:before="0" w:after="0"/>
        <w:contextualSpacing/>
        <w:jc w:val="both"/>
        <w:rPr/>
      </w:pPr>
      <w:r>
        <w:rPr>
          <w:rFonts w:ascii="Times New Roman" w:hAnsi="Times New Roman"/>
        </w:rPr>
        <w:t xml:space="preserve">Депонируемая сумма:       ___________ (_______________) рублей___ копеек </w:t>
      </w:r>
    </w:p>
    <w:p>
      <w:pPr>
        <w:pStyle w:val="NoSpacing"/>
        <w:jc w:val="both"/>
        <w:rPr/>
      </w:pPr>
      <w:r>
        <w:rPr>
          <w:rFonts w:ascii="Times New Roman" w:hAnsi="Times New Roman"/>
        </w:rPr>
        <w:t>3.4.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pPr>
      <w:r>
        <w:rPr>
          <w:rFonts w:ascii="Times New Roman" w:hAnsi="Times New Roman"/>
        </w:rPr>
        <w:t>3.5.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pPr>
      <w:r>
        <w:rPr>
          <w:rFonts w:ascii="Times New Roman" w:hAnsi="Times New Roman"/>
        </w:rPr>
        <w:t>3.6. Срок условного депонирования денежных средств:</w:t>
      </w:r>
      <w:r>
        <w:rPr/>
        <w:t xml:space="preserve"> </w:t>
      </w:r>
      <w:r>
        <w:rPr>
          <w:rFonts w:ascii="Times New Roman" w:hAnsi="Times New Roman"/>
        </w:rPr>
        <w:t>"31" августа 2026 года.</w:t>
      </w:r>
    </w:p>
    <w:p>
      <w:pPr>
        <w:pStyle w:val="ConsPlusTitle"/>
        <w:spacing w:before="0" w:after="160"/>
        <w:contextualSpacing/>
        <w:jc w:val="both"/>
        <w:rPr/>
      </w:pPr>
      <w:r>
        <w:rPr>
          <w:rFonts w:ascii="Times New Roman" w:hAnsi="Times New Roman"/>
          <w:b w:val="false"/>
          <w:sz w:val="22"/>
          <w:szCs w:val="22"/>
        </w:rPr>
        <w:t>3.7. Депонируемая сумма не позднее 10 (Десяти) рабочих дней после предоставления Застройщиком Эскроу-агенту разрешения на ввод в эксплуатацию нежилого здания – апарт-отеля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Застройщика №</w:t>
      </w:r>
      <w:r>
        <w:rPr>
          <w:rFonts w:cs="Times New Roman" w:ascii="Times New Roman" w:hAnsi="Times New Roman"/>
          <w:b w:val="false"/>
          <w:bCs w:val="false"/>
          <w:sz w:val="22"/>
          <w:szCs w:val="22"/>
        </w:rPr>
        <w:t>______________</w:t>
      </w:r>
      <w:r>
        <w:rPr>
          <w:rFonts w:ascii="Times New Roman" w:hAnsi="Times New Roman"/>
          <w:sz w:val="22"/>
          <w:szCs w:val="22"/>
        </w:rPr>
        <w:t>, открытый в РНКБ Банк (ПАО)_________________________________________________,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pPr>
      <w:r>
        <w:rPr>
          <w:rFonts w:ascii="Times New Roman" w:hAnsi="Times New Roman"/>
        </w:rPr>
        <w:t xml:space="preserve">3.8. Если в отношении уполномоченного банка, в котором открыт счет эскроу, наступил страховой случай в соответствии с Федеральным </w:t>
      </w:r>
      <w:hyperlink r:id="rId6">
        <w:r>
          <w:rPr>
            <w:rFonts w:ascii="Times New Roman" w:hAnsi="Times New Roman"/>
          </w:rPr>
          <w:t>законом</w:t>
        </w:r>
      </w:hyperlink>
      <w:r>
        <w:rPr>
          <w:rFonts w:ascii="Times New Roman" w:hAnsi="Times New Roman"/>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pPr>
      <w:r>
        <w:rPr>
          <w:sz w:val="22"/>
          <w:szCs w:val="22"/>
        </w:rPr>
        <w:t>3.9.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sz w:val="22"/>
            <w:szCs w:val="22"/>
          </w:rPr>
          <w:t>3.8.</w:t>
        </w:r>
      </w:hyperlink>
      <w:r>
        <w:rPr>
          <w:sz w:val="22"/>
          <w:szCs w:val="22"/>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pPr>
      <w:bookmarkStart w:id="4" w:name="Par86"/>
      <w:bookmarkEnd w:id="4"/>
      <w:r>
        <w:rPr>
          <w:sz w:val="22"/>
          <w:szCs w:val="22"/>
        </w:rPr>
        <w:t>3.10. По соглашению Сторон цена Договора может быть изменена в следующих случаях:</w:t>
      </w:r>
    </w:p>
    <w:p>
      <w:pPr>
        <w:pStyle w:val="ConsPlusNormal"/>
        <w:spacing w:lineRule="atLeast" w:line="240"/>
        <w:ind w:firstLine="540"/>
        <w:jc w:val="both"/>
        <w:rPr/>
      </w:pPr>
      <w:r>
        <w:rPr>
          <w:sz w:val="22"/>
          <w:szCs w:val="22"/>
        </w:rPr>
        <w:t>- увеличения стоимости строительных материалов более чем на 10%;</w:t>
      </w:r>
    </w:p>
    <w:p>
      <w:pPr>
        <w:pStyle w:val="ConsPlusNormal"/>
        <w:spacing w:lineRule="atLeast" w:line="240"/>
        <w:ind w:firstLine="540"/>
        <w:jc w:val="both"/>
        <w:rPr/>
      </w:pPr>
      <w:r>
        <w:rPr>
          <w:sz w:val="22"/>
          <w:szCs w:val="22"/>
        </w:rPr>
        <w:t>- увеличения стоимости энергоносителей более чем на 10%;</w:t>
      </w:r>
    </w:p>
    <w:p>
      <w:pPr>
        <w:pStyle w:val="ConsPlusNormal"/>
        <w:spacing w:lineRule="atLeast" w:line="240"/>
        <w:ind w:firstLine="540"/>
        <w:jc w:val="both"/>
        <w:rPr/>
      </w:pPr>
      <w:r>
        <w:rPr>
          <w:sz w:val="22"/>
          <w:szCs w:val="22"/>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pPr>
      <w:r>
        <w:rPr>
          <w:sz w:val="22"/>
          <w:szCs w:val="22"/>
        </w:rPr>
        <w:t>- корректировки площади Объекта долевого строительства более чем на 1 кв. м;</w:t>
      </w:r>
    </w:p>
    <w:p>
      <w:pPr>
        <w:pStyle w:val="ConsPlusNormal"/>
        <w:spacing w:lineRule="atLeast" w:line="240"/>
        <w:ind w:firstLine="540"/>
        <w:jc w:val="both"/>
        <w:rPr/>
      </w:pPr>
      <w:r>
        <w:rPr>
          <w:sz w:val="22"/>
          <w:szCs w:val="22"/>
        </w:rPr>
        <w:t>- внесения изменений в состав Объекта долевого строительства по согласию Сторон.</w:t>
      </w:r>
    </w:p>
    <w:p>
      <w:pPr>
        <w:pStyle w:val="1"/>
        <w:ind w:left="16" w:hanging="0"/>
        <w:jc w:val="both"/>
        <w:rPr/>
      </w:pPr>
      <w:r>
        <w:rPr>
          <w:rFonts w:cs="Times New Roman"/>
          <w:sz w:val="22"/>
          <w:szCs w:val="22"/>
        </w:rPr>
        <w:t xml:space="preserve">3.11.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
        <w:ind w:left="8" w:hanging="0"/>
        <w:jc w:val="both"/>
        <w:rPr/>
      </w:pPr>
      <w:r>
        <w:rPr>
          <w:rFonts w:cs="Times New Roman"/>
          <w:sz w:val="22"/>
          <w:szCs w:val="22"/>
        </w:rPr>
        <w:t>3.12.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п. 3.1 настоящего Договора.</w:t>
      </w:r>
    </w:p>
    <w:p>
      <w:pPr>
        <w:pStyle w:val="1"/>
        <w:ind w:left="8" w:hanging="0"/>
        <w:jc w:val="both"/>
        <w:rPr>
          <w:rFonts w:cs="Times New Roman"/>
          <w:sz w:val="22"/>
          <w:szCs w:val="22"/>
        </w:rPr>
      </w:pPr>
      <w:r>
        <w:rPr>
          <w:rFonts w:cs="Times New Roman"/>
          <w:sz w:val="22"/>
          <w:szCs w:val="22"/>
        </w:rPr>
        <w:t>3.13.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pPr>
        <w:pStyle w:val="1"/>
        <w:ind w:left="8" w:hanging="0"/>
        <w:jc w:val="both"/>
        <w:rPr>
          <w:rFonts w:cs="Times New Roman"/>
          <w:sz w:val="22"/>
          <w:szCs w:val="22"/>
        </w:rPr>
      </w:pPr>
      <w:r>
        <w:rPr>
          <w:rFonts w:cs="Times New Roman"/>
          <w:sz w:val="22"/>
          <w:szCs w:val="22"/>
        </w:rPr>
        <w:t>3.14. В случае превышения фактического значения общей приведенной площади Помещения, по отношению к проектному значению,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Акта приема-передачи Помещения. В назначении платежа в обязательном порядке указываются: реквизиты настоящего Договора (номер и дата) и фамилия, имя, отчество Участника. При этом, доплата Цены Договора осуществляется Участником долевого строительства путем перечисления денежных средств на Расчетный (Залоговый) счет Застройщика № ___________________________,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Счетов ЭСКРОУ.</w:t>
      </w:r>
    </w:p>
    <w:p>
      <w:pPr>
        <w:pStyle w:val="1"/>
        <w:ind w:left="8" w:hanging="0"/>
        <w:jc w:val="both"/>
        <w:rPr>
          <w:rFonts w:cs="Times New Roman"/>
          <w:sz w:val="22"/>
          <w:szCs w:val="22"/>
        </w:rPr>
      </w:pPr>
      <w:r>
        <w:rPr>
          <w:rFonts w:cs="Times New Roman"/>
          <w:sz w:val="22"/>
          <w:szCs w:val="22"/>
        </w:rPr>
        <w:t>3.15. В случае несоблюдения Участником срока уплаты Цены настоящего Договора (п. 3.3. Договора), после получения разрешения на ввод Объекта в эксплуатацию, окончательный расчет осуществляется Участником путем уплаты денежных средств на Залоговый счет № _______________________,  открытый Застройщиком у Эскроу-агента для размещения средств от продажи объектов долевого строительства, поступающих после Даты раскрытия Счетов эскроу.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pPr>
        <w:pStyle w:val="1"/>
        <w:ind w:left="8" w:hanging="0"/>
        <w:jc w:val="both"/>
        <w:rPr>
          <w:rFonts w:cs="Times New Roman"/>
          <w:sz w:val="22"/>
          <w:szCs w:val="22"/>
        </w:rPr>
      </w:pPr>
      <w:r>
        <w:rPr>
          <w:rFonts w:cs="Times New Roman"/>
          <w:sz w:val="22"/>
          <w:szCs w:val="22"/>
        </w:rPr>
        <w:t xml:space="preserve">3.16. По договорам участия в долевом строительстве, заключенным после получения разрешения на ввод Объекта в эксплуатацию и до осуществления государственного кадастрового учета Объекта </w:t>
      </w:r>
      <w:bookmarkStart w:id="5" w:name="_GoBack"/>
      <w:bookmarkEnd w:id="5"/>
      <w:r>
        <w:rPr>
          <w:rFonts w:cs="Times New Roman"/>
          <w:sz w:val="22"/>
          <w:szCs w:val="22"/>
        </w:rPr>
        <w:t>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_________________________,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p>
    <w:p>
      <w:pPr>
        <w:pStyle w:val="1"/>
        <w:ind w:left="8" w:hanging="0"/>
        <w:jc w:val="both"/>
        <w:rPr/>
      </w:pPr>
      <w:r>
        <w:rPr/>
      </w:r>
    </w:p>
    <w:p>
      <w:pPr>
        <w:pStyle w:val="ConsPlusNormal"/>
        <w:ind w:firstLine="540"/>
        <w:jc w:val="both"/>
        <w:rPr>
          <w:sz w:val="22"/>
          <w:szCs w:val="22"/>
        </w:rPr>
      </w:pPr>
      <w:r>
        <w:rPr>
          <w:sz w:val="22"/>
          <w:szCs w:val="22"/>
        </w:rPr>
      </w:r>
    </w:p>
    <w:p>
      <w:pPr>
        <w:pStyle w:val="ConsPlusNormal"/>
        <w:numPr>
          <w:ilvl w:val="0"/>
          <w:numId w:val="0"/>
        </w:numPr>
        <w:jc w:val="center"/>
        <w:outlineLvl w:val="0"/>
        <w:rPr/>
      </w:pPr>
      <w:r>
        <w:rPr>
          <w:b/>
          <w:sz w:val="22"/>
          <w:szCs w:val="22"/>
        </w:rPr>
        <w:t>4. ГАРАНТИИ УЧАСТНИКА ДОЛЕВОГО СТРОИТЕЛЬСТВА</w:t>
      </w:r>
    </w:p>
    <w:p>
      <w:pPr>
        <w:pStyle w:val="ConsPlusNormal"/>
        <w:jc w:val="both"/>
        <w:rPr/>
      </w:pPr>
      <w:r>
        <w:rPr>
          <w:sz w:val="22"/>
          <w:szCs w:val="22"/>
        </w:rPr>
        <w:t>4.1. Срок ввода Объекта в эксплуатацию не позднее «</w:t>
      </w:r>
      <w:r>
        <w:rPr>
          <w:rFonts w:eastAsia="Times New Roman" w:cs="Times New Roman"/>
          <w:sz w:val="22"/>
          <w:szCs w:val="22"/>
          <w:lang w:eastAsia="ru-RU"/>
        </w:rPr>
        <w:t>30</w:t>
      </w:r>
      <w:r>
        <w:rPr>
          <w:sz w:val="22"/>
          <w:szCs w:val="22"/>
        </w:rPr>
        <w:t xml:space="preserve">» </w:t>
      </w:r>
      <w:r>
        <w:rPr>
          <w:rFonts w:eastAsia="Times New Roman" w:cs="Times New Roman"/>
          <w:sz w:val="22"/>
          <w:szCs w:val="22"/>
          <w:lang w:eastAsia="ru-RU"/>
        </w:rPr>
        <w:t>сентября</w:t>
      </w:r>
      <w:r>
        <w:rPr>
          <w:sz w:val="22"/>
          <w:szCs w:val="22"/>
        </w:rPr>
        <w:t xml:space="preserve"> 202</w:t>
      </w:r>
      <w:r>
        <w:rPr>
          <w:rFonts w:eastAsia="Times New Roman" w:cs="Times New Roman"/>
          <w:sz w:val="22"/>
          <w:szCs w:val="22"/>
          <w:lang w:eastAsia="ru-RU"/>
        </w:rPr>
        <w:t>5</w:t>
      </w:r>
      <w:r>
        <w:rPr>
          <w:sz w:val="22"/>
          <w:szCs w:val="22"/>
        </w:rPr>
        <w:t xml:space="preserve"> года.</w:t>
      </w:r>
    </w:p>
    <w:p>
      <w:pPr>
        <w:pStyle w:val="ConsPlusNormal"/>
        <w:jc w:val="both"/>
        <w:rPr/>
      </w:pPr>
      <w:r>
        <w:rPr>
          <w:sz w:val="22"/>
          <w:szCs w:val="22"/>
        </w:rPr>
        <w:t xml:space="preserve">4.2.Нежилые помещения будут переданы Участнику долевого строительства не позднее "31" </w:t>
      </w:r>
      <w:r>
        <w:rPr>
          <w:rFonts w:eastAsia="Times New Roman" w:cs="Times New Roman"/>
          <w:sz w:val="22"/>
          <w:szCs w:val="22"/>
          <w:lang w:eastAsia="ru-RU"/>
        </w:rPr>
        <w:t>марта</w:t>
      </w:r>
      <w:r>
        <w:rPr>
          <w:sz w:val="22"/>
          <w:szCs w:val="22"/>
        </w:rPr>
        <w:t xml:space="preserve"> 2026 года.</w:t>
      </w:r>
    </w:p>
    <w:p>
      <w:pPr>
        <w:pStyle w:val="ConsPlusNormal"/>
        <w:numPr>
          <w:ilvl w:val="0"/>
          <w:numId w:val="0"/>
        </w:numPr>
        <w:jc w:val="center"/>
        <w:outlineLvl w:val="0"/>
        <w:rPr/>
      </w:pPr>
      <w:r>
        <w:rPr>
          <w:b/>
          <w:sz w:val="22"/>
          <w:szCs w:val="22"/>
        </w:rPr>
        <w:t>5. ПРАВА И ОБЯЗАННОСТИ СТОРОН</w:t>
      </w:r>
    </w:p>
    <w:p>
      <w:pPr>
        <w:pStyle w:val="ConsPlusNormal"/>
        <w:jc w:val="both"/>
        <w:rPr/>
      </w:pPr>
      <w:r>
        <w:rPr>
          <w:b/>
          <w:sz w:val="22"/>
          <w:szCs w:val="22"/>
        </w:rPr>
        <w:t>5.1. Застройщик принимает на себя следующие обязательства:</w:t>
      </w:r>
    </w:p>
    <w:p>
      <w:pPr>
        <w:pStyle w:val="1"/>
        <w:jc w:val="both"/>
        <w:rPr/>
      </w:pPr>
      <w:r>
        <w:rPr>
          <w:rFonts w:cs="Times New Roman"/>
          <w:sz w:val="22"/>
          <w:szCs w:val="22"/>
        </w:rPr>
        <w:t>5.1.1.Зарегистрировать настоящий Договор в установленном законом порядке.</w:t>
      </w:r>
    </w:p>
    <w:p>
      <w:pPr>
        <w:pStyle w:val="ConsPlusNormal"/>
        <w:jc w:val="both"/>
        <w:rPr/>
      </w:pPr>
      <w:r>
        <w:rPr>
          <w:sz w:val="22"/>
          <w:szCs w:val="22"/>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pPr>
      <w:r>
        <w:rPr>
          <w:sz w:val="22"/>
          <w:szCs w:val="22"/>
        </w:rPr>
        <w:t>5.1.3. Контролировать ход работ по строительству Объекта.</w:t>
      </w:r>
    </w:p>
    <w:p>
      <w:pPr>
        <w:pStyle w:val="ConsPlusNormal"/>
        <w:jc w:val="both"/>
        <w:rPr/>
      </w:pPr>
      <w:r>
        <w:rPr>
          <w:sz w:val="22"/>
          <w:szCs w:val="22"/>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pPr>
        <w:pStyle w:val="ConsPlusNormal"/>
        <w:jc w:val="both"/>
        <w:rPr/>
      </w:pPr>
      <w:r>
        <w:rPr>
          <w:sz w:val="22"/>
          <w:szCs w:val="22"/>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pPr>
      <w:r>
        <w:rPr>
          <w:rFonts w:ascii="Times New Roman" w:hAnsi="Times New Roman"/>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pPr>
      <w:r>
        <w:rPr>
          <w:sz w:val="22"/>
          <w:szCs w:val="22"/>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
        <w:ind w:left="16" w:hanging="0"/>
        <w:jc w:val="both"/>
        <w:rPr/>
      </w:pPr>
      <w:r>
        <w:rPr>
          <w:rFonts w:cs="Times New Roman"/>
          <w:sz w:val="22"/>
          <w:szCs w:val="22"/>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pPr>
      <w:r>
        <w:rPr>
          <w:b/>
          <w:sz w:val="22"/>
          <w:szCs w:val="22"/>
        </w:rPr>
        <w:t>5.2. Застройщик вправе:</w:t>
      </w:r>
    </w:p>
    <w:p>
      <w:pPr>
        <w:pStyle w:val="ConsPlusNormal"/>
        <w:jc w:val="both"/>
        <w:rPr/>
      </w:pPr>
      <w:r>
        <w:rPr>
          <w:sz w:val="22"/>
          <w:szCs w:val="22"/>
        </w:rPr>
        <w:t>5.2.1. Досрочно исполнить обязательства по передаче объекта долевого строительства.</w:t>
      </w:r>
    </w:p>
    <w:p>
      <w:pPr>
        <w:pStyle w:val="1"/>
        <w:tabs>
          <w:tab w:val="clear" w:pos="708"/>
          <w:tab w:val="right" w:pos="10003" w:leader="none"/>
        </w:tabs>
        <w:rPr/>
      </w:pPr>
      <w:r>
        <w:rPr>
          <w:rFonts w:cs="Times New Roman"/>
          <w:sz w:val="22"/>
          <w:szCs w:val="22"/>
        </w:rPr>
        <w:t>5.2.3. Внести изменения и дополнения в проект Объекта долевого строительства.</w:t>
        <w:tab/>
      </w:r>
    </w:p>
    <w:p>
      <w:pPr>
        <w:pStyle w:val="1"/>
        <w:jc w:val="both"/>
        <w:rPr/>
      </w:pPr>
      <w:r>
        <w:rPr>
          <w:rFonts w:cs="Times New Roman"/>
          <w:sz w:val="22"/>
          <w:szCs w:val="22"/>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pPr>
      <w:r>
        <w:rPr>
          <w:b/>
          <w:sz w:val="22"/>
          <w:szCs w:val="22"/>
        </w:rPr>
        <w:t>5.3. Участник долевого строительства принимает на себя следующие обязательства:</w:t>
      </w:r>
    </w:p>
    <w:p>
      <w:pPr>
        <w:pStyle w:val="ConsPlusNormal"/>
        <w:spacing w:lineRule="atLeast" w:line="240"/>
        <w:jc w:val="both"/>
        <w:rPr/>
      </w:pPr>
      <w:r>
        <w:rPr>
          <w:sz w:val="22"/>
          <w:szCs w:val="22"/>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sz w:val="22"/>
            <w:szCs w:val="22"/>
          </w:rPr>
          <w:t>п. 3.</w:t>
        </w:r>
      </w:hyperlink>
      <w:r>
        <w:rPr>
          <w:sz w:val="22"/>
          <w:szCs w:val="22"/>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
        <w:r>
          <w:rPr>
            <w:sz w:val="22"/>
            <w:szCs w:val="22"/>
          </w:rPr>
          <w:t>п. 3.</w:t>
        </w:r>
      </w:hyperlink>
      <w:r>
        <w:rPr>
          <w:sz w:val="22"/>
          <w:szCs w:val="22"/>
        </w:rPr>
        <w:t>3 настоящего Договора.</w:t>
      </w:r>
    </w:p>
    <w:p>
      <w:pPr>
        <w:pStyle w:val="Normal"/>
        <w:spacing w:lineRule="auto" w:line="240" w:before="0" w:after="0"/>
        <w:jc w:val="both"/>
        <w:rPr/>
      </w:pPr>
      <w:r>
        <w:rPr>
          <w:rFonts w:ascii="Times New Roman" w:hAnsi="Times New Roman"/>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pPr>
      <w:r>
        <w:rPr>
          <w:rFonts w:ascii="Times New Roman" w:hAnsi="Times New Roman"/>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7">
        <w:r>
          <w:rPr>
            <w:rFonts w:ascii="Times New Roman" w:hAnsi="Times New Roman"/>
          </w:rPr>
          <w:t>части 1 статьи 7</w:t>
        </w:r>
      </w:hyperlink>
      <w:r>
        <w:rPr>
          <w:rFonts w:ascii="Times New Roman" w:hAnsi="Times New Roman"/>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8">
        <w:r>
          <w:rPr>
            <w:rFonts w:ascii="Times New Roman" w:hAnsi="Times New Roman"/>
          </w:rPr>
          <w:t>частью 2 статьи 7</w:t>
        </w:r>
      </w:hyperlink>
      <w:r>
        <w:rPr>
          <w:rFonts w:ascii="Times New Roman" w:hAnsi="Times New Roman"/>
        </w:rPr>
        <w:t xml:space="preserve"> настоящего Федерального закона.</w:t>
      </w:r>
    </w:p>
    <w:p>
      <w:pPr>
        <w:pStyle w:val="ConsPlusNormal"/>
        <w:spacing w:lineRule="atLeast" w:line="240"/>
        <w:jc w:val="both"/>
        <w:rPr/>
      </w:pPr>
      <w:r>
        <w:rPr>
          <w:sz w:val="22"/>
          <w:szCs w:val="22"/>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pPr>
        <w:pStyle w:val="1"/>
        <w:jc w:val="both"/>
        <w:rPr/>
      </w:pPr>
      <w:r>
        <w:rPr>
          <w:rFonts w:cs="Times New Roman"/>
          <w:sz w:val="22"/>
          <w:szCs w:val="22"/>
        </w:rPr>
        <w:t xml:space="preserve">5.3.5. Использовать получаемые в собственность нежилые помещения в соответствии с их назначением. </w:t>
      </w:r>
    </w:p>
    <w:p>
      <w:pPr>
        <w:pStyle w:val="1"/>
        <w:jc w:val="both"/>
        <w:rPr/>
      </w:pPr>
      <w:r>
        <w:rPr>
          <w:rFonts w:cs="Times New Roman"/>
          <w:sz w:val="22"/>
          <w:szCs w:val="22"/>
        </w:rPr>
        <w:t>5.3.6. После передачи Застройщиком Объекта по передаточному акту Участники долевого строительства вправе производить на Объекте работы по чистовой отделке.</w:t>
      </w:r>
    </w:p>
    <w:p>
      <w:pPr>
        <w:pStyle w:val="ConsPlusNormal"/>
        <w:spacing w:lineRule="atLeast" w:line="240"/>
        <w:jc w:val="both"/>
        <w:rPr/>
      </w:pPr>
      <w:r>
        <w:rPr>
          <w:sz w:val="22"/>
          <w:szCs w:val="22"/>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pPr>
        <w:pStyle w:val="1"/>
        <w:jc w:val="both"/>
        <w:rPr/>
      </w:pPr>
      <w:r>
        <w:rPr>
          <w:rFonts w:cs="Times New Roman"/>
          <w:b/>
          <w:sz w:val="22"/>
          <w:szCs w:val="22"/>
        </w:rPr>
        <w:t>5.4.</w:t>
      </w:r>
      <w:r>
        <w:rPr>
          <w:rFonts w:cs="Times New Roman"/>
          <w:sz w:val="22"/>
          <w:szCs w:val="22"/>
        </w:rPr>
        <w:t xml:space="preserve"> </w:t>
      </w:r>
      <w:r>
        <w:rPr>
          <w:rFonts w:cs="Times New Roman"/>
          <w:b/>
          <w:bCs/>
          <w:sz w:val="22"/>
          <w:szCs w:val="22"/>
        </w:rPr>
        <w:t>Участник долевого строительства не вправе:</w:t>
      </w:r>
    </w:p>
    <w:p>
      <w:pPr>
        <w:pStyle w:val="1"/>
        <w:ind w:left="8" w:hanging="0"/>
        <w:jc w:val="both"/>
        <w:rPr/>
      </w:pPr>
      <w:r>
        <w:rPr>
          <w:rFonts w:cs="Times New Roman"/>
          <w:sz w:val="22"/>
          <w:szCs w:val="22"/>
        </w:rPr>
        <w:t>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pPr>
        <w:pStyle w:val="1"/>
        <w:jc w:val="both"/>
        <w:rPr/>
      </w:pPr>
      <w:r>
        <w:rPr>
          <w:rFonts w:cs="Times New Roman"/>
          <w:sz w:val="22"/>
          <w:szCs w:val="22"/>
        </w:rPr>
        <w:t>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п. 3.1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
        <w:jc w:val="both"/>
        <w:rPr/>
      </w:pPr>
      <w:r>
        <w:rPr>
          <w:rFonts w:cs="Times New Roman"/>
          <w:sz w:val="22"/>
          <w:szCs w:val="22"/>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
        <w:jc w:val="both"/>
        <w:rPr/>
      </w:pPr>
      <w:r>
        <w:rPr>
          <w:rFonts w:cs="Times New Roman"/>
          <w:sz w:val="22"/>
          <w:szCs w:val="22"/>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pPr>
      <w:r>
        <w:rPr>
          <w:rFonts w:ascii="Times New Roman" w:hAnsi="Times New Roman"/>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9">
        <w:r>
          <w:rPr>
            <w:rFonts w:ascii="Times New Roman" w:hAnsi="Times New Roman"/>
          </w:rPr>
          <w:t>частью 4</w:t>
        </w:r>
      </w:hyperlink>
      <w:r>
        <w:rPr>
          <w:rFonts w:ascii="Times New Roman" w:hAnsi="Times New Roman"/>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jc w:val="center"/>
        <w:outlineLvl w:val="0"/>
        <w:rPr/>
      </w:pPr>
      <w:r>
        <w:rPr>
          <w:b/>
          <w:sz w:val="22"/>
          <w:szCs w:val="22"/>
        </w:rPr>
        <w:t>6. ГАРАНТИЙНЫЕ ОБЯЗАТЕЛЬСТВА</w:t>
      </w:r>
    </w:p>
    <w:p>
      <w:pPr>
        <w:pStyle w:val="ConsPlusNormal"/>
        <w:jc w:val="both"/>
        <w:rPr/>
      </w:pPr>
      <w:r>
        <w:rPr>
          <w:sz w:val="22"/>
          <w:szCs w:val="22"/>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pPr>
      <w:r>
        <w:rPr>
          <w:sz w:val="22"/>
          <w:szCs w:val="22"/>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0">
        <w:r>
          <w:rPr>
            <w:sz w:val="22"/>
            <w:szCs w:val="22"/>
          </w:rPr>
          <w:t>акта</w:t>
        </w:r>
      </w:hyperlink>
      <w:r>
        <w:rPr>
          <w:sz w:val="22"/>
          <w:szCs w:val="22"/>
        </w:rPr>
        <w:t>.</w:t>
      </w:r>
    </w:p>
    <w:p>
      <w:pPr>
        <w:pStyle w:val="ConsPlusNormal"/>
        <w:jc w:val="both"/>
        <w:rPr/>
      </w:pPr>
      <w:r>
        <w:rPr>
          <w:sz w:val="22"/>
          <w:szCs w:val="22"/>
        </w:rPr>
        <w:t>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jc w:val="center"/>
        <w:outlineLvl w:val="0"/>
        <w:rPr/>
      </w:pPr>
      <w:r>
        <w:rPr>
          <w:b/>
          <w:sz w:val="22"/>
          <w:szCs w:val="22"/>
        </w:rPr>
        <w:t>7. ОТВЕТСТВЕННОСТЬ СТОРОН</w:t>
      </w:r>
    </w:p>
    <w:p>
      <w:pPr>
        <w:pStyle w:val="ConsPlusNormal"/>
        <w:jc w:val="both"/>
        <w:rPr/>
      </w:pPr>
      <w:r>
        <w:rPr>
          <w:sz w:val="22"/>
          <w:szCs w:val="22"/>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
        <w:ind w:left="8" w:hanging="0"/>
        <w:jc w:val="both"/>
        <w:rPr/>
      </w:pPr>
      <w:r>
        <w:rPr>
          <w:rFonts w:cs="Times New Roman"/>
          <w:sz w:val="22"/>
          <w:szCs w:val="22"/>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
        <w:ind w:left="8" w:hanging="0"/>
        <w:jc w:val="both"/>
        <w:rPr/>
      </w:pPr>
      <w:r>
        <w:rPr>
          <w:rFonts w:cs="Times New Roman"/>
          <w:sz w:val="22"/>
          <w:szCs w:val="22"/>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
        <w:ind w:left="8" w:hanging="0"/>
        <w:jc w:val="both"/>
        <w:rPr/>
      </w:pPr>
      <w:r>
        <w:rPr>
          <w:rFonts w:cs="Times New Roman"/>
          <w:sz w:val="22"/>
          <w:szCs w:val="22"/>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pPr>
      <w:r>
        <w:rPr>
          <w:rFonts w:ascii="Times New Roman" w:hAnsi="Times New Roman"/>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pPr>
      <w:r>
        <w:rPr>
          <w:rFonts w:ascii="Times New Roman" w:hAnsi="Times New Roman"/>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pPr>
      <w:r>
        <w:rPr>
          <w:rFonts w:ascii="Times New Roman" w:hAnsi="Times New Roman"/>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pPr>
      <w:r>
        <w:rPr>
          <w:rFonts w:ascii="Times New Roman" w:hAnsi="Times New Roman"/>
        </w:rPr>
        <w:t xml:space="preserve">7.8. В случае если Объект построен Застройщиком с отступлениями от условий настоящего Договора и (или) указанных в </w:t>
      </w:r>
      <w:hyperlink r:id="rId11">
        <w:r>
          <w:rPr>
            <w:rFonts w:ascii="Times New Roman" w:hAnsi="Times New Roman"/>
          </w:rPr>
          <w:t>ч. 1 ст. 7</w:t>
        </w:r>
      </w:hyperlink>
      <w:r>
        <w:rPr>
          <w:rFonts w:ascii="Times New Roman" w:hAnsi="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pPr>
      <w:r>
        <w:rPr>
          <w:sz w:val="22"/>
          <w:szCs w:val="22"/>
        </w:rPr>
        <w:t>1) безвозмездного устранения недостатков в разумный срок;</w:t>
      </w:r>
    </w:p>
    <w:p>
      <w:pPr>
        <w:pStyle w:val="ConsPlusNormal"/>
        <w:jc w:val="both"/>
        <w:rPr/>
      </w:pPr>
      <w:r>
        <w:rPr>
          <w:sz w:val="22"/>
          <w:szCs w:val="22"/>
        </w:rPr>
        <w:t>2) соразмерного уменьшения цены Договора;</w:t>
      </w:r>
    </w:p>
    <w:p>
      <w:pPr>
        <w:pStyle w:val="ConsPlusNormal"/>
        <w:jc w:val="both"/>
        <w:rPr/>
      </w:pPr>
      <w:r>
        <w:rPr>
          <w:sz w:val="22"/>
          <w:szCs w:val="22"/>
        </w:rPr>
        <w:t>3) возмещения своих расходов на устранение недостатков.</w:t>
      </w:r>
    </w:p>
    <w:p>
      <w:pPr>
        <w:pStyle w:val="ConsPlusNormal"/>
        <w:jc w:val="both"/>
        <w:rPr/>
      </w:pPr>
      <w:r>
        <w:rPr>
          <w:sz w:val="22"/>
          <w:szCs w:val="22"/>
        </w:rPr>
        <w:t xml:space="preserve">7.9. В случае существенного нарушения требований к качеству Объекта (нежилых помещений)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2">
        <w:r>
          <w:rPr>
            <w:sz w:val="22"/>
            <w:szCs w:val="22"/>
          </w:rPr>
          <w:t>ч. 2 ст. 9</w:t>
        </w:r>
      </w:hyperlink>
      <w:r>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pPr>
      <w:r>
        <w:rPr>
          <w:rFonts w:ascii="Times New Roman" w:hAnsi="Times New Roman"/>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pPr>
      <w:r>
        <w:rPr>
          <w:sz w:val="22"/>
          <w:szCs w:val="22"/>
        </w:rPr>
        <w:t>7.11.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pPr>
      <w:r>
        <w:rPr>
          <w:rFonts w:ascii="Times New Roman" w:hAnsi="Times New Roman"/>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numPr>
          <w:ilvl w:val="0"/>
          <w:numId w:val="0"/>
        </w:numPr>
        <w:jc w:val="center"/>
        <w:outlineLvl w:val="0"/>
        <w:rPr>
          <w:sz w:val="22"/>
          <w:szCs w:val="22"/>
        </w:rPr>
      </w:pPr>
      <w:r>
        <w:rPr>
          <w:sz w:val="22"/>
          <w:szCs w:val="22"/>
        </w:rPr>
      </w:r>
    </w:p>
    <w:p>
      <w:pPr>
        <w:pStyle w:val="ConsPlusNormal"/>
        <w:ind w:firstLine="540"/>
        <w:jc w:val="center"/>
        <w:rPr/>
      </w:pPr>
      <w:r>
        <w:rPr>
          <w:b/>
          <w:sz w:val="22"/>
          <w:szCs w:val="22"/>
        </w:rPr>
        <w:t>8. ОБСТОЯТЕЛЬСТВА НЕПРЕОДОЛИМОЙ СТИЛЫ (ФОРС-МАЖОР)</w:t>
      </w:r>
    </w:p>
    <w:p>
      <w:pPr>
        <w:pStyle w:val="1"/>
        <w:ind w:left="16" w:hanging="0"/>
        <w:jc w:val="both"/>
        <w:rPr/>
      </w:pPr>
      <w:r>
        <w:rPr>
          <w:rFonts w:cs="Times New Roman"/>
          <w:sz w:val="22"/>
          <w:szCs w:val="22"/>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
        <w:jc w:val="both"/>
        <w:rPr/>
      </w:pPr>
      <w:r>
        <w:rPr>
          <w:rFonts w:cs="Times New Roman"/>
          <w:sz w:val="22"/>
          <w:szCs w:val="22"/>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
        <w:jc w:val="both"/>
        <w:rPr/>
      </w:pPr>
      <w:r>
        <w:rPr>
          <w:rFonts w:cs="Times New Roman"/>
          <w:sz w:val="22"/>
          <w:szCs w:val="22"/>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
        <w:jc w:val="both"/>
        <w:rPr/>
      </w:pPr>
      <w:r>
        <w:rPr>
          <w:rFonts w:cs="Times New Roman"/>
          <w:sz w:val="22"/>
          <w:szCs w:val="22"/>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
        <w:jc w:val="both"/>
        <w:rPr/>
      </w:pPr>
      <w:r>
        <w:rPr>
          <w:rFonts w:cs="Times New Roman"/>
          <w:sz w:val="22"/>
          <w:szCs w:val="22"/>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
        <w:jc w:val="both"/>
        <w:rPr/>
      </w:pPr>
      <w:r>
        <w:rPr>
          <w:rFonts w:cs="Times New Roman"/>
          <w:sz w:val="22"/>
          <w:szCs w:val="22"/>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
        <w:jc w:val="both"/>
        <w:rPr>
          <w:rFonts w:cs="Times New Roman"/>
          <w:sz w:val="22"/>
          <w:szCs w:val="22"/>
        </w:rPr>
      </w:pPr>
      <w:r>
        <w:rPr>
          <w:rFonts w:cs="Times New Roman"/>
          <w:sz w:val="22"/>
          <w:szCs w:val="22"/>
        </w:rPr>
      </w:r>
    </w:p>
    <w:p>
      <w:pPr>
        <w:pStyle w:val="1"/>
        <w:ind w:left="-142" w:firstLine="567"/>
        <w:jc w:val="center"/>
        <w:rPr/>
      </w:pPr>
      <w:r>
        <w:rPr>
          <w:rFonts w:cs="Times New Roman"/>
          <w:b/>
          <w:sz w:val="22"/>
          <w:szCs w:val="22"/>
        </w:rPr>
        <w:t>9. УСТУПКА ПРАВ ТРЕБОВАНИЙ ПО ДОГОВОРУ</w:t>
      </w:r>
    </w:p>
    <w:p>
      <w:pPr>
        <w:pStyle w:val="1"/>
        <w:ind w:left="8" w:hanging="0"/>
        <w:jc w:val="both"/>
        <w:rPr/>
      </w:pPr>
      <w:r>
        <w:rPr>
          <w:rFonts w:cs="Times New Roman"/>
          <w:sz w:val="22"/>
          <w:szCs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
        <w:ind w:left="8" w:hanging="0"/>
        <w:jc w:val="both"/>
        <w:rPr/>
      </w:pPr>
      <w:r>
        <w:rPr>
          <w:rFonts w:cs="Times New Roman"/>
          <w:sz w:val="22"/>
          <w:szCs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
        <w:ind w:left="23" w:hanging="0"/>
        <w:jc w:val="both"/>
        <w:rPr/>
      </w:pPr>
      <w:r>
        <w:rPr>
          <w:rFonts w:cs="Times New Roman"/>
          <w:sz w:val="22"/>
          <w:szCs w:val="22"/>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pPr>
        <w:pStyle w:val="1"/>
        <w:ind w:left="23" w:hanging="0"/>
        <w:jc w:val="both"/>
        <w:rPr>
          <w:rFonts w:cs="Times New Roman"/>
          <w:sz w:val="22"/>
          <w:szCs w:val="22"/>
        </w:rPr>
      </w:pPr>
      <w:r>
        <w:rPr>
          <w:rFonts w:cs="Times New Roman"/>
          <w:sz w:val="22"/>
          <w:szCs w:val="22"/>
        </w:rPr>
      </w:r>
    </w:p>
    <w:p>
      <w:pPr>
        <w:pStyle w:val="ConsPlusNormal"/>
        <w:numPr>
          <w:ilvl w:val="0"/>
          <w:numId w:val="0"/>
        </w:numPr>
        <w:jc w:val="center"/>
        <w:outlineLvl w:val="0"/>
        <w:rPr/>
      </w:pPr>
      <w:r>
        <w:rPr>
          <w:b/>
          <w:sz w:val="22"/>
          <w:szCs w:val="22"/>
        </w:rPr>
        <w:t>10. СРОК ДЕЙСТВИЯ ДОГОВОРА</w:t>
      </w:r>
    </w:p>
    <w:p>
      <w:pPr>
        <w:pStyle w:val="ConsPlusNormal"/>
        <w:jc w:val="both"/>
        <w:rPr/>
      </w:pPr>
      <w:r>
        <w:rPr>
          <w:sz w:val="22"/>
          <w:szCs w:val="22"/>
        </w:rPr>
        <w:t xml:space="preserve">10.1. Настоящий Договор подписывается Сторонами и подлежит государственной регистрации в порядке, установленном Федеральным </w:t>
      </w:r>
      <w:hyperlink r:id="rId13">
        <w:r>
          <w:rPr>
            <w:sz w:val="22"/>
            <w:szCs w:val="22"/>
          </w:rPr>
          <w:t>законом</w:t>
        </w:r>
      </w:hyperlink>
      <w:r>
        <w:rPr>
          <w:sz w:val="22"/>
          <w:szCs w:val="22"/>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pPr>
      <w:r>
        <w:rPr>
          <w:sz w:val="22"/>
          <w:szCs w:val="22"/>
        </w:rPr>
        <w:t>10.2. Настоящий Договор действует до момента исполнения Сторонами своих обязательств по нему.</w:t>
      </w:r>
    </w:p>
    <w:p>
      <w:pPr>
        <w:pStyle w:val="ConsPlusNormal"/>
        <w:jc w:val="both"/>
        <w:rPr>
          <w:b/>
          <w:b/>
          <w:sz w:val="22"/>
          <w:szCs w:val="22"/>
        </w:rPr>
      </w:pPr>
      <w:r>
        <w:rPr>
          <w:b/>
          <w:sz w:val="22"/>
          <w:szCs w:val="22"/>
        </w:rPr>
      </w:r>
    </w:p>
    <w:p>
      <w:pPr>
        <w:pStyle w:val="ConsPlusNormal"/>
        <w:numPr>
          <w:ilvl w:val="0"/>
          <w:numId w:val="0"/>
        </w:numPr>
        <w:jc w:val="center"/>
        <w:outlineLvl w:val="0"/>
        <w:rPr/>
      </w:pPr>
      <w:r>
        <w:rPr>
          <w:b/>
          <w:sz w:val="22"/>
          <w:szCs w:val="22"/>
        </w:rPr>
        <w:t>11. ЗАКЛЮЧИТЕЛЬНЫЕ ПОЛОЖЕНИЯ</w:t>
      </w:r>
    </w:p>
    <w:p>
      <w:pPr>
        <w:pStyle w:val="ConsPlusNormal"/>
        <w:jc w:val="both"/>
        <w:rPr/>
      </w:pPr>
      <w:r>
        <w:rPr>
          <w:sz w:val="22"/>
          <w:szCs w:val="22"/>
        </w:rPr>
        <w:t>11.1. Настоящий Договор может быть изменен или прекращен по письменному соглашению Сторон.</w:t>
      </w:r>
    </w:p>
    <w:p>
      <w:pPr>
        <w:pStyle w:val="ConsPlusNormal"/>
        <w:jc w:val="both"/>
        <w:rPr/>
      </w:pPr>
      <w:r>
        <w:rPr>
          <w:sz w:val="22"/>
          <w:szCs w:val="22"/>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pPr>
      <w:r>
        <w:rPr>
          <w:sz w:val="22"/>
          <w:szCs w:val="22"/>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pPr>
      <w:r>
        <w:rPr>
          <w:sz w:val="22"/>
          <w:szCs w:val="22"/>
        </w:rPr>
        <w:t>11.4. Все приложения к Договору, согласованные обеими Сторонами, являются его неотъемлемой частью.</w:t>
      </w:r>
    </w:p>
    <w:p>
      <w:pPr>
        <w:pStyle w:val="ConsPlusNormal"/>
        <w:jc w:val="both"/>
        <w:rPr/>
      </w:pPr>
      <w:r>
        <w:rPr>
          <w:sz w:val="22"/>
          <w:szCs w:val="22"/>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pPr>
        <w:pStyle w:val="ConsPlusNormal"/>
        <w:jc w:val="both"/>
        <w:rPr/>
      </w:pPr>
      <w:r>
        <w:rPr>
          <w:sz w:val="22"/>
          <w:szCs w:val="22"/>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pPr>
      <w:r>
        <w:rPr>
          <w:sz w:val="22"/>
          <w:szCs w:val="22"/>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pPr>
      <w:r>
        <w:rPr>
          <w:sz w:val="22"/>
          <w:szCs w:val="22"/>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pPr>
      <w:r>
        <w:rPr>
          <w:sz w:val="22"/>
          <w:szCs w:val="22"/>
        </w:rPr>
        <w:t>11.8.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pPr>
        <w:pStyle w:val="ConsPlusNormal"/>
        <w:jc w:val="both"/>
        <w:rPr>
          <w:sz w:val="22"/>
          <w:szCs w:val="22"/>
        </w:rPr>
      </w:pPr>
      <w:r>
        <w:rPr>
          <w:sz w:val="22"/>
          <w:szCs w:val="22"/>
        </w:rPr>
      </w:r>
    </w:p>
    <w:p>
      <w:pPr>
        <w:pStyle w:val="ConsPlusNormal"/>
        <w:numPr>
          <w:ilvl w:val="0"/>
          <w:numId w:val="0"/>
        </w:numPr>
        <w:jc w:val="center"/>
        <w:outlineLvl w:val="0"/>
        <w:rPr/>
      </w:pPr>
      <w:r>
        <w:rPr>
          <w:b/>
          <w:sz w:val="22"/>
          <w:szCs w:val="22"/>
        </w:rPr>
        <w:t>12. АДРЕСА И ПЛАТЕЖНЫЕ РЕКВИЗИТЫ СТОРОН</w:t>
      </w:r>
    </w:p>
    <w:p>
      <w:pPr>
        <w:pStyle w:val="ConsPlusNormal"/>
        <w:numPr>
          <w:ilvl w:val="0"/>
          <w:numId w:val="0"/>
        </w:numPr>
        <w:jc w:val="center"/>
        <w:outlineLvl w:val="0"/>
        <w:rPr>
          <w:b/>
          <w:b/>
          <w:sz w:val="23"/>
          <w:szCs w:val="23"/>
        </w:rPr>
      </w:pPr>
      <w:r>
        <w:rPr>
          <w:b/>
          <w:sz w:val="23"/>
          <w:szCs w:val="23"/>
        </w:rPr>
      </w:r>
    </w:p>
    <w:tbl>
      <w:tblPr>
        <w:tblStyle w:val="af"/>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160"/>
              <w:contextualSpacing/>
              <w:jc w:val="both"/>
              <w:rPr>
                <w:rFonts w:ascii="Times New Roman" w:hAnsi="Times New Roman" w:cs="Times New Roman"/>
                <w:b/>
                <w:b/>
                <w:sz w:val="23"/>
                <w:szCs w:val="23"/>
              </w:rPr>
            </w:pPr>
            <w:r>
              <w:rPr>
                <w:rFonts w:cs="Times New Roman" w:ascii="Times New Roman" w:hAnsi="Times New Roman"/>
                <w:b/>
                <w:kern w:val="0"/>
                <w:sz w:val="23"/>
                <w:szCs w:val="23"/>
                <w:lang w:val="ru-RU" w:bidi="ar-SA"/>
              </w:rPr>
              <w:t xml:space="preserve">Застройщик:     </w:t>
            </w:r>
          </w:p>
          <w:p>
            <w:pPr>
              <w:pStyle w:val="ConsPlusNonformat"/>
              <w:widowControl w:val="false"/>
              <w:suppressAutoHyphens w:val="true"/>
              <w:spacing w:lineRule="atLeast" w:line="0" w:before="0" w:after="160"/>
              <w:contextualSpacing/>
              <w:jc w:val="both"/>
              <w:rPr>
                <w:rFonts w:ascii="Times New Roman" w:hAnsi="Times New Roman" w:cs="Times New Roman"/>
                <w:sz w:val="23"/>
                <w:szCs w:val="23"/>
              </w:rPr>
            </w:pPr>
            <w:r>
              <w:rPr>
                <w:rFonts w:cs="Times New Roman" w:ascii="Times New Roman" w:hAnsi="Times New Roman"/>
                <w:b/>
                <w:kern w:val="0"/>
                <w:sz w:val="23"/>
                <w:szCs w:val="23"/>
                <w:lang w:val="ru-RU" w:bidi="ar-SA"/>
              </w:rPr>
              <w:t>Общество с ограниченной ответственностью «Специализированный застройщик "ГРИН СИТИ"</w:t>
            </w:r>
            <w:r>
              <w:rPr>
                <w:rFonts w:cs="Times New Roman" w:ascii="Times New Roman" w:hAnsi="Times New Roman"/>
                <w:kern w:val="0"/>
                <w:sz w:val="23"/>
                <w:szCs w:val="23"/>
                <w:lang w:val="ru-RU" w:bidi="ar-SA"/>
              </w:rPr>
              <w:t xml:space="preserve"> </w:t>
            </w:r>
          </w:p>
          <w:p>
            <w:pPr>
              <w:pStyle w:val="ConsPlusNonformat"/>
              <w:widowControl w:val="false"/>
              <w:suppressAutoHyphens w:val="true"/>
              <w:spacing w:lineRule="atLeast" w:line="0"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Юридический/почтовый адрес: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298637, Республика Крым, г.о. Ялта, г Ялта, ул Красных Партизан, д. 14, офис 16-13      </w:t>
              <w:tab/>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ИНН/КПП 9102055037/910301001   </w:t>
              <w:tab/>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ОГРН 1149102114897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Телефон: +7(978) 026-72-16 </w:t>
              <w:tab/>
              <w:tab/>
              <w:tab/>
              <w:t xml:space="preserve">     </w:t>
            </w:r>
          </w:p>
          <w:p>
            <w:pPr>
              <w:pStyle w:val="ConsPlusNonformat"/>
              <w:widowControl w:val="false"/>
              <w:suppressAutoHyphens w:val="true"/>
              <w:spacing w:before="0" w:after="160"/>
              <w:contextualSpacing/>
              <w:jc w:val="both"/>
              <w:rPr>
                <w:rFonts w:ascii="Times New Roman" w:hAnsi="Times New Roman" w:cs="Times New Roman"/>
                <w:sz w:val="23"/>
                <w:szCs w:val="23"/>
              </w:rPr>
            </w:pPr>
            <w:r>
              <w:rPr>
                <w:rFonts w:cs="Times New Roman" w:ascii="Times New Roman" w:hAnsi="Times New Roman"/>
                <w:kern w:val="0"/>
                <w:sz w:val="23"/>
                <w:szCs w:val="23"/>
                <w:lang w:val="ru-RU" w:bidi="ar-SA"/>
              </w:rPr>
              <w:t xml:space="preserve">Адрес электронной почты: </w:t>
            </w:r>
            <w:r>
              <w:rPr>
                <w:rFonts w:cs="Times New Roman" w:ascii="Times New Roman" w:hAnsi="Times New Roman"/>
                <w:kern w:val="0"/>
                <w:sz w:val="23"/>
                <w:szCs w:val="23"/>
                <w:lang w:val="en-US" w:bidi="ar-SA"/>
              </w:rPr>
              <w:t>urist</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cr</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n</w:t>
            </w:r>
            <w:r>
              <w:rPr>
                <w:rFonts w:cs="Times New Roman" w:ascii="Times New Roman" w:hAnsi="Times New Roman"/>
                <w:kern w:val="0"/>
                <w:sz w:val="23"/>
                <w:szCs w:val="23"/>
                <w:lang w:val="ru-RU" w:bidi="ar-SA"/>
              </w:rPr>
              <w:t>.</w:t>
            </w:r>
            <w:r>
              <w:rPr>
                <w:rFonts w:cs="Times New Roman" w:ascii="Times New Roman" w:hAnsi="Times New Roman"/>
                <w:kern w:val="0"/>
                <w:sz w:val="23"/>
                <w:szCs w:val="23"/>
                <w:lang w:val="en-US" w:bidi="ar-SA"/>
              </w:rPr>
              <w:t>ru</w:t>
            </w:r>
            <w:r>
              <w:rPr>
                <w:rFonts w:cs="Times New Roman" w:ascii="Times New Roman" w:hAnsi="Times New Roman"/>
                <w:kern w:val="0"/>
                <w:sz w:val="23"/>
                <w:szCs w:val="23"/>
                <w:lang w:val="ru-RU" w:bidi="ar-SA"/>
              </w:rPr>
              <w:t xml:space="preserve">     </w:t>
            </w:r>
          </w:p>
          <w:p>
            <w:pPr>
              <w:pStyle w:val="ConsPlusTitle"/>
              <w:widowControl w:val="false"/>
              <w:suppressAutoHyphens w:val="true"/>
              <w:spacing w:before="0" w:after="160"/>
              <w:contextualSpacing/>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Банковские реквизиты:</w:t>
            </w:r>
          </w:p>
          <w:p>
            <w:pPr>
              <w:pStyle w:val="ConsPlusTitle"/>
              <w:widowControl w:val="false"/>
              <w:suppressAutoHyphens w:val="true"/>
              <w:spacing w:before="0" w:after="160"/>
              <w:contextualSpacing/>
              <w:jc w:val="left"/>
              <w:rPr>
                <w:rFonts w:ascii="Times New Roman" w:hAnsi="Times New Roman" w:cs="Times New Roman"/>
                <w:sz w:val="23"/>
                <w:szCs w:val="23"/>
              </w:rPr>
            </w:pPr>
            <w:r>
              <w:rPr>
                <w:rFonts w:cs="Times New Roman" w:ascii="Times New Roman" w:hAnsi="Times New Roman"/>
                <w:b w:val="false"/>
                <w:kern w:val="0"/>
                <w:sz w:val="23"/>
                <w:szCs w:val="23"/>
                <w:lang w:val="ru-RU" w:bidi="ar-SA"/>
              </w:rPr>
              <w:t>р/с 40702810640010000387</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ПАО</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БИК 043510607</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к/с 30101810335100000607 в</w:t>
            </w:r>
          </w:p>
          <w:p>
            <w:pPr>
              <w:pStyle w:val="ConsPlusTitle"/>
              <w:widowControl w:val="false"/>
              <w:suppressAutoHyphens w:val="true"/>
              <w:spacing w:before="0" w:after="0"/>
              <w:jc w:val="left"/>
              <w:rPr>
                <w:rFonts w:ascii="Times New Roman" w:hAnsi="Times New Roman" w:cs="Times New Roman"/>
                <w:b w:val="false"/>
                <w:b w:val="false"/>
                <w:sz w:val="23"/>
                <w:szCs w:val="23"/>
              </w:rPr>
            </w:pPr>
            <w:r>
              <w:rPr>
                <w:rFonts w:cs="Times New Roman" w:ascii="Times New Roman" w:hAnsi="Times New Roman"/>
                <w:b w:val="false"/>
                <w:kern w:val="0"/>
                <w:sz w:val="23"/>
                <w:szCs w:val="23"/>
                <w:lang w:val="ru-RU" w:bidi="ar-SA"/>
              </w:rPr>
              <w:t>РНКБ БАНК (ПАО)</w:t>
            </w:r>
          </w:p>
          <w:p>
            <w:pPr>
              <w:pStyle w:val="ConsPlusNormal"/>
              <w:widowControl w:val="false"/>
              <w:numPr>
                <w:ilvl w:val="0"/>
                <w:numId w:val="0"/>
              </w:numPr>
              <w:suppressAutoHyphens w:val="true"/>
              <w:spacing w:before="0" w:after="0"/>
              <w:jc w:val="left"/>
              <w:outlineLvl w:val="0"/>
              <w:rPr>
                <w:b/>
                <w:b/>
                <w:sz w:val="23"/>
                <w:szCs w:val="23"/>
              </w:rPr>
            </w:pPr>
            <w:r>
              <w:rPr>
                <w:b/>
                <w:kern w:val="0"/>
                <w:sz w:val="23"/>
                <w:szCs w:val="23"/>
                <w:lang w:val="ru-RU" w:bidi="ar-SA"/>
              </w:rPr>
            </w:r>
          </w:p>
        </w:tc>
        <w:tc>
          <w:tcPr>
            <w:tcW w:w="5098" w:type="dxa"/>
            <w:tcBorders/>
          </w:tcPr>
          <w:p>
            <w:pPr>
              <w:pStyle w:val="ConsPlusNormal"/>
              <w:widowControl w:val="false"/>
              <w:numPr>
                <w:ilvl w:val="0"/>
                <w:numId w:val="0"/>
              </w:numPr>
              <w:suppressAutoHyphens w:val="true"/>
              <w:spacing w:before="0" w:after="0"/>
              <w:jc w:val="left"/>
              <w:outlineLvl w:val="0"/>
              <w:rPr>
                <w:b/>
                <w:b/>
                <w:sz w:val="23"/>
                <w:szCs w:val="23"/>
              </w:rPr>
            </w:pPr>
            <w:r>
              <w:rPr>
                <w:b/>
                <w:kern w:val="0"/>
                <w:sz w:val="23"/>
                <w:szCs w:val="23"/>
                <w:lang w:val="ru-RU" w:bidi="ar-SA"/>
              </w:rPr>
              <w:t>Участник долевого строительства:</w:t>
            </w:r>
          </w:p>
          <w:p>
            <w:pPr>
              <w:pStyle w:val="ConsPlusNormal"/>
              <w:widowControl w:val="false"/>
              <w:numPr>
                <w:ilvl w:val="0"/>
                <w:numId w:val="0"/>
              </w:numPr>
              <w:suppressAutoHyphens w:val="true"/>
              <w:spacing w:before="0" w:after="0"/>
              <w:jc w:val="left"/>
              <w:outlineLvl w:val="0"/>
              <w:rPr>
                <w:sz w:val="23"/>
                <w:szCs w:val="23"/>
              </w:rPr>
            </w:pPr>
            <w:r>
              <w:rPr>
                <w:kern w:val="0"/>
                <w:sz w:val="23"/>
                <w:szCs w:val="23"/>
                <w:lang w:val="ru-RU" w:bidi="ar-SA"/>
              </w:rPr>
            </w:r>
          </w:p>
        </w:tc>
      </w:tr>
    </w:tbl>
    <w:p>
      <w:pPr>
        <w:pStyle w:val="ConsPlusNonformat"/>
        <w:jc w:val="center"/>
        <w:rPr/>
      </w:pPr>
      <w:r>
        <w:rPr>
          <w:rFonts w:cs="Times New Roman" w:ascii="Times New Roman" w:hAnsi="Times New Roman"/>
          <w:b/>
          <w:sz w:val="23"/>
          <w:szCs w:val="23"/>
        </w:rPr>
        <w:t>ПОДПИСИ СТОРОН:</w:t>
      </w:r>
    </w:p>
    <w:p>
      <w:pPr>
        <w:pStyle w:val="ConsPlusNonformat"/>
        <w:jc w:val="both"/>
        <w:rPr/>
      </w:pPr>
      <w:r>
        <w:rPr>
          <w:rFonts w:cs="Times New Roman" w:ascii="Times New Roman" w:hAnsi="Times New Roman"/>
          <w:sz w:val="23"/>
          <w:szCs w:val="23"/>
        </w:rPr>
        <w:t xml:space="preserve">Застройщик:                             </w:t>
        <w:tab/>
        <w:tab/>
        <w:tab/>
        <w:t xml:space="preserve"> Участник долевого строительства:</w:t>
      </w:r>
    </w:p>
    <w:p>
      <w:pPr>
        <w:pStyle w:val="ConsPlusNonformat"/>
        <w:jc w:val="both"/>
        <w:rPr/>
      </w:pPr>
      <w:r>
        <w:rPr>
          <w:rFonts w:cs="Times New Roman" w:ascii="Times New Roman" w:hAnsi="Times New Roman"/>
          <w:sz w:val="23"/>
          <w:szCs w:val="23"/>
        </w:rPr>
        <w:t xml:space="preserve">____________/_____________              </w:t>
        <w:tab/>
        <w:tab/>
        <w:t xml:space="preserve"> ____________/_________________</w:t>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 xml:space="preserve">(Ф.И.О.)     (подпись)                  </w:t>
        <w:tab/>
        <w:tab/>
        <w:tab/>
        <w:t>(Ф.И.О.)       (подпись)</w:t>
      </w:r>
    </w:p>
    <w:p>
      <w:pPr>
        <w:pStyle w:val="ConsPlusNonformat"/>
        <w:jc w:val="both"/>
        <w:rPr>
          <w:rFonts w:ascii="Times New Roman" w:hAnsi="Times New Roman" w:cs="Times New Roman"/>
          <w:sz w:val="23"/>
          <w:szCs w:val="23"/>
        </w:rPr>
      </w:pPr>
      <w:r>
        <w:rPr>
          <w:rFonts w:cs="Times New Roman" w:ascii="Times New Roman" w:hAnsi="Times New Roman"/>
          <w:sz w:val="23"/>
          <w:szCs w:val="23"/>
        </w:rPr>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(М.П.)</w:t>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both"/>
        <w:rPr>
          <w:sz w:val="23"/>
          <w:szCs w:val="23"/>
        </w:rPr>
      </w:pPr>
      <w:r>
        <w:rPr>
          <w:sz w:val="23"/>
          <w:szCs w:val="23"/>
        </w:rPr>
      </w:r>
    </w:p>
    <w:p>
      <w:pPr>
        <w:pStyle w:val="ConsPlusNormal"/>
        <w:ind w:firstLine="540"/>
        <w:jc w:val="right"/>
        <w:rPr/>
      </w:pPr>
      <w:r>
        <w:rPr>
          <w:b/>
          <w:sz w:val="23"/>
          <w:szCs w:val="23"/>
        </w:rPr>
        <w:t xml:space="preserve">Приложение № 1 </w:t>
      </w:r>
    </w:p>
    <w:p>
      <w:pPr>
        <w:pStyle w:val="ConsPlusNormal"/>
        <w:ind w:firstLine="540"/>
        <w:jc w:val="right"/>
        <w:rPr/>
      </w:pPr>
      <w:r>
        <w:rPr>
          <w:b/>
          <w:sz w:val="23"/>
          <w:szCs w:val="23"/>
        </w:rPr>
        <w:t xml:space="preserve">к Договору № </w:t>
      </w:r>
    </w:p>
    <w:p>
      <w:pPr>
        <w:pStyle w:val="ConsPlusNormal"/>
        <w:jc w:val="right"/>
        <w:rPr/>
      </w:pPr>
      <w:r>
        <w:rPr>
          <w:b/>
          <w:sz w:val="23"/>
          <w:szCs w:val="23"/>
        </w:rPr>
        <w:t>участия в долевом строительстве нежилого здания от _______________2022 года</w:t>
      </w:r>
    </w:p>
    <w:p>
      <w:pPr>
        <w:pStyle w:val="ConsPlusNormal"/>
        <w:ind w:firstLine="540"/>
        <w:jc w:val="right"/>
        <w:rPr>
          <w:sz w:val="23"/>
          <w:szCs w:val="23"/>
        </w:rPr>
      </w:pPr>
      <w:r>
        <w:rPr>
          <w:sz w:val="23"/>
          <w:szCs w:val="23"/>
        </w:rPr>
      </w:r>
    </w:p>
    <w:p>
      <w:pPr>
        <w:pStyle w:val="ConsPlusNormal"/>
        <w:numPr>
          <w:ilvl w:val="0"/>
          <w:numId w:val="1"/>
        </w:numPr>
        <w:jc w:val="both"/>
        <w:rPr/>
      </w:pPr>
      <w:r>
        <w:rPr>
          <w:sz w:val="23"/>
          <w:szCs w:val="23"/>
        </w:rPr>
        <w:t>Размещение квартиры на этаже:</w:t>
      </w:r>
    </w:p>
    <w:p>
      <w:pPr>
        <w:pStyle w:val="ConsPlusNormal"/>
        <w:ind w:firstLine="540"/>
        <w:jc w:val="both"/>
        <w:rPr>
          <w:sz w:val="23"/>
          <w:szCs w:val="23"/>
        </w:rPr>
      </w:pPr>
      <w:r>
        <w:rPr>
          <w:sz w:val="23"/>
          <w:szCs w:val="23"/>
        </w:rPr>
      </w:r>
    </w:p>
    <w:p>
      <w:pPr>
        <w:pStyle w:val="ConsPlusNormal"/>
        <w:ind w:left="900" w:hanging="0"/>
        <w:jc w:val="both"/>
        <w:rPr>
          <w:sz w:val="23"/>
          <w:szCs w:val="23"/>
        </w:rPr>
      </w:pPr>
      <w:r>
        <w:rPr>
          <w:sz w:val="23"/>
          <w:szCs w:val="23"/>
        </w:rPr>
      </w:r>
    </w:p>
    <w:p>
      <w:pPr>
        <w:pStyle w:val="ConsPlusNormal"/>
        <w:ind w:left="900" w:hanging="0"/>
        <w:jc w:val="both"/>
        <w:rPr>
          <w:sz w:val="23"/>
          <w:szCs w:val="23"/>
        </w:rPr>
      </w:pPr>
      <w:r>
        <w:rPr>
          <w:sz w:val="23"/>
          <w:szCs w:val="23"/>
        </w:rPr>
      </w:r>
    </w:p>
    <w:p>
      <w:pPr>
        <w:pStyle w:val="ConsPlusNormal"/>
        <w:numPr>
          <w:ilvl w:val="0"/>
          <w:numId w:val="1"/>
        </w:numPr>
        <w:jc w:val="both"/>
        <w:rPr/>
      </w:pPr>
      <w:r>
        <w:rPr>
          <w:sz w:val="23"/>
          <w:szCs w:val="23"/>
        </w:rPr>
        <w:t>Конфигурация квартиры:</w:t>
      </w:r>
    </w:p>
    <w:p>
      <w:pPr>
        <w:pStyle w:val="ConsPlusNormal"/>
        <w:ind w:firstLine="540"/>
        <w:jc w:val="both"/>
        <w:rPr>
          <w:sz w:val="23"/>
          <w:szCs w:val="23"/>
        </w:rPr>
      </w:pPr>
      <w:r>
        <w:rPr>
          <w:sz w:val="23"/>
          <w:szCs w:val="23"/>
        </w:rPr>
      </w:r>
    </w:p>
    <w:p>
      <w:pPr>
        <w:pStyle w:val="ConsPlusNormal"/>
        <w:ind w:firstLine="1276"/>
        <w:jc w:val="both"/>
        <w:rPr>
          <w:sz w:val="23"/>
          <w:szCs w:val="23"/>
        </w:rPr>
      </w:pPr>
      <w:r>
        <w:rPr>
          <w:sz w:val="23"/>
          <w:szCs w:val="23"/>
        </w:rPr>
      </w:r>
    </w:p>
    <w:p>
      <w:pPr>
        <w:pStyle w:val="ConsPlusNormal"/>
        <w:ind w:firstLine="540"/>
        <w:jc w:val="both"/>
        <w:rPr>
          <w:sz w:val="23"/>
          <w:szCs w:val="23"/>
        </w:rPr>
      </w:pPr>
      <w:r>
        <w:rPr>
          <w:sz w:val="23"/>
          <w:szCs w:val="23"/>
        </w:rPr>
      </w:r>
    </w:p>
    <w:p>
      <w:pPr>
        <w:pStyle w:val="ConsPlusNonformat"/>
        <w:jc w:val="center"/>
        <w:rPr/>
      </w:pPr>
      <w:r>
        <w:rPr>
          <w:rFonts w:cs="Times New Roman" w:ascii="Times New Roman" w:hAnsi="Times New Roman"/>
          <w:b/>
          <w:sz w:val="23"/>
          <w:szCs w:val="23"/>
        </w:rPr>
        <w:t>ПОДПИСИ СТОРОН:</w:t>
      </w:r>
    </w:p>
    <w:p>
      <w:pPr>
        <w:pStyle w:val="ConsPlusNonformat"/>
        <w:jc w:val="center"/>
        <w:rPr>
          <w:rFonts w:ascii="Times New Roman" w:hAnsi="Times New Roman" w:cs="Times New Roman"/>
          <w:b/>
          <w:b/>
          <w:sz w:val="23"/>
          <w:szCs w:val="23"/>
        </w:rPr>
      </w:pPr>
      <w:r>
        <w:rPr>
          <w:rFonts w:cs="Times New Roman" w:ascii="Times New Roman" w:hAnsi="Times New Roman"/>
          <w:b/>
          <w:sz w:val="23"/>
          <w:szCs w:val="23"/>
        </w:rPr>
      </w:r>
    </w:p>
    <w:p>
      <w:pPr>
        <w:pStyle w:val="ConsPlusNonformat"/>
        <w:jc w:val="both"/>
        <w:rPr/>
      </w:pPr>
      <w:r>
        <w:rPr>
          <w:rFonts w:cs="Times New Roman" w:ascii="Times New Roman" w:hAnsi="Times New Roman"/>
          <w:sz w:val="23"/>
          <w:szCs w:val="23"/>
        </w:rPr>
        <w:t xml:space="preserve">Застройщик:                             </w:t>
        <w:tab/>
        <w:tab/>
        <w:tab/>
        <w:t xml:space="preserve"> Участник долевого строительства:</w:t>
      </w:r>
    </w:p>
    <w:p>
      <w:pPr>
        <w:pStyle w:val="ConsPlusNonformat"/>
        <w:jc w:val="both"/>
        <w:rPr/>
      </w:pPr>
      <w:r>
        <w:rPr>
          <w:rFonts w:cs="Times New Roman" w:ascii="Times New Roman" w:hAnsi="Times New Roman"/>
          <w:sz w:val="23"/>
          <w:szCs w:val="23"/>
        </w:rPr>
        <w:t xml:space="preserve">____________/_____________              </w:t>
        <w:tab/>
        <w:tab/>
        <w:t xml:space="preserve"> ____________/_________________</w:t>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 xml:space="preserve">(Ф.И.О.)     (подпись)                  </w:t>
        <w:tab/>
        <w:tab/>
        <w:tab/>
        <w:t>(Ф.И.О.)       (подпись)</w:t>
      </w:r>
    </w:p>
    <w:p>
      <w:pPr>
        <w:pStyle w:val="ConsPlusNonformat"/>
        <w:jc w:val="both"/>
        <w:rPr>
          <w:rFonts w:ascii="Times New Roman" w:hAnsi="Times New Roman" w:cs="Times New Roman"/>
          <w:sz w:val="23"/>
          <w:szCs w:val="23"/>
        </w:rPr>
      </w:pPr>
      <w:r>
        <w:rPr>
          <w:rFonts w:cs="Times New Roman" w:ascii="Times New Roman" w:hAnsi="Times New Roman"/>
          <w:sz w:val="23"/>
          <w:szCs w:val="23"/>
        </w:rPr>
      </w:r>
    </w:p>
    <w:p>
      <w:pPr>
        <w:pStyle w:val="ConsPlusNonformat"/>
        <w:jc w:val="both"/>
        <w:rPr/>
      </w:pPr>
      <w:r>
        <w:rPr>
          <w:rFonts w:cs="Times New Roman" w:ascii="Times New Roman" w:hAnsi="Times New Roman"/>
          <w:sz w:val="23"/>
          <w:szCs w:val="23"/>
        </w:rPr>
        <w:t xml:space="preserve">       </w:t>
      </w:r>
      <w:r>
        <w:rPr>
          <w:rFonts w:cs="Times New Roman" w:ascii="Times New Roman" w:hAnsi="Times New Roman"/>
          <w:sz w:val="23"/>
          <w:szCs w:val="23"/>
        </w:rPr>
        <w:t>(М.П.)</w:t>
      </w:r>
    </w:p>
    <w:p>
      <w:pPr>
        <w:pStyle w:val="Normal"/>
        <w:widowControl/>
        <w:suppressAutoHyphens w:val="true"/>
        <w:bidi w:val="0"/>
        <w:spacing w:lineRule="auto" w:line="259" w:before="0" w:after="160"/>
        <w:jc w:val="left"/>
        <w:rPr/>
      </w:pPr>
      <w:r>
        <w:rPr/>
      </w:r>
    </w:p>
    <w:sectPr>
      <w:footerReference w:type="default" r:id="rId14"/>
      <w:type w:val="nextPage"/>
      <w:pgSz w:w="11906" w:h="16838"/>
      <w:pgMar w:left="1133" w:right="566" w:gutter="0" w:header="0" w:top="284" w:footer="0" w:bottom="56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3"/>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2678"/>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uiPriority w:val="99"/>
    <w:semiHidden/>
    <w:qFormat/>
    <w:rsid w:val="001e521e"/>
    <w:rPr>
      <w:rFonts w:ascii="Segoe UI" w:hAnsi="Segoe UI" w:eastAsia="Times New Roman" w:cs="Segoe UI"/>
      <w:sz w:val="18"/>
      <w:szCs w:val="18"/>
      <w:lang w:eastAsia="ru-RU"/>
    </w:rPr>
  </w:style>
  <w:style w:type="character" w:styleId="Annotationreference">
    <w:name w:val="annotation reference"/>
    <w:basedOn w:val="DefaultParagraphFont"/>
    <w:uiPriority w:val="99"/>
    <w:semiHidden/>
    <w:unhideWhenUsed/>
    <w:qFormat/>
    <w:rsid w:val="00934852"/>
    <w:rPr>
      <w:sz w:val="16"/>
      <w:szCs w:val="16"/>
    </w:rPr>
  </w:style>
  <w:style w:type="character" w:styleId="Style17" w:customStyle="1">
    <w:name w:val="Текст примечания Знак"/>
    <w:basedOn w:val="DefaultParagraphFont"/>
    <w:link w:val="af1"/>
    <w:uiPriority w:val="99"/>
    <w:qFormat/>
    <w:rsid w:val="00934852"/>
    <w:rPr>
      <w:rFonts w:eastAsia="Times New Roman" w:cs="Times New Roman"/>
      <w:sz w:val="20"/>
      <w:szCs w:val="20"/>
      <w:lang w:eastAsia="ru-RU"/>
    </w:rPr>
  </w:style>
  <w:style w:type="character" w:styleId="Style18" w:customStyle="1">
    <w:name w:val="Тема примечания Знак"/>
    <w:basedOn w:val="Style17"/>
    <w:link w:val="af3"/>
    <w:uiPriority w:val="99"/>
    <w:semiHidden/>
    <w:qFormat/>
    <w:rsid w:val="00934852"/>
    <w:rPr>
      <w:rFonts w:eastAsia="Times New Roman" w:cs="Times New Roman"/>
      <w:b/>
      <w:bCs/>
      <w:sz w:val="20"/>
      <w:szCs w:val="20"/>
      <w:lang w:eastAsia="ru-RU"/>
    </w:rPr>
  </w:style>
  <w:style w:type="character" w:styleId="Style19">
    <w:name w:val="Нумерация строк"/>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lang w:val="zxx" w:eastAsia="zxx" w:bidi="zxx"/>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302678"/>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ConsPlusNonformat" w:customStyle="1">
    <w:name w:val="ConsPlusNonformat"/>
    <w:uiPriority w:val="99"/>
    <w:qFormat/>
    <w:rsid w:val="00302678"/>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302678"/>
    <w:pPr>
      <w:widowControl w:val="false"/>
      <w:suppressAutoHyphens w:val="true"/>
      <w:bidi w:val="0"/>
      <w:spacing w:before="0" w:after="0"/>
      <w:jc w:val="left"/>
    </w:pPr>
    <w:rPr>
      <w:rFonts w:ascii="Arial" w:hAnsi="Arial" w:eastAsia="Times New Roman" w:cs="Arial"/>
      <w:b/>
      <w:bCs/>
      <w:color w:val="auto"/>
      <w:kern w:val="0"/>
      <w:sz w:val="24"/>
      <w:szCs w:val="24"/>
      <w:lang w:eastAsia="ru-RU" w:val="ru-RU" w:bidi="ar-SA"/>
    </w:rPr>
  </w:style>
  <w:style w:type="paragraph" w:styleId="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eastAsia="hi-IN" w:bidi="hi-IN" w:val="ru-RU"/>
    </w:rPr>
  </w:style>
  <w:style w:type="paragraph" w:styleId="NoSpacing">
    <w:name w:val="No Spacing"/>
    <w:uiPriority w:val="1"/>
    <w:qFormat/>
    <w:rsid w:val="00d1243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Style25" w:customStyle="1">
    <w:name w:val="Колонтитул"/>
    <w:basedOn w:val="Normal"/>
    <w:qFormat/>
    <w:pPr/>
    <w:rPr/>
  </w:style>
  <w:style w:type="paragraph" w:styleId="Style26">
    <w:name w:val="Footer"/>
    <w:basedOn w:val="Style25"/>
    <w:pPr/>
    <w:rPr/>
  </w:style>
  <w:style w:type="paragraph" w:styleId="Annotationtext">
    <w:name w:val="annotation text"/>
    <w:basedOn w:val="Normal"/>
    <w:link w:val="af2"/>
    <w:uiPriority w:val="99"/>
    <w:unhideWhenUsed/>
    <w:qFormat/>
    <w:rsid w:val="00934852"/>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934852"/>
    <w:pPr/>
    <w:rPr>
      <w:b/>
      <w:bCs/>
    </w:rPr>
  </w:style>
  <w:style w:type="paragraph" w:styleId="Revision">
    <w:name w:val="Revision"/>
    <w:uiPriority w:val="99"/>
    <w:semiHidden/>
    <w:qFormat/>
    <w:rsid w:val="00934852"/>
    <w:pPr>
      <w:widowControl/>
      <w:suppressAutoHyphens w:val="false"/>
      <w:bidi w:val="0"/>
      <w:spacing w:before="0" w:after="0"/>
      <w:jc w:val="left"/>
    </w:pPr>
    <w:rPr>
      <w:rFonts w:eastAsia="Times New Roman" w:cs="Times New Roman" w:ascii="Calibri" w:hAnsi="Calibri" w:asciiTheme="minorHAnsi" w:hAnsiTheme="minorHAnsi"/>
      <w:color w:val="auto"/>
      <w:kern w:val="0"/>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39"/>
    <w:rsid w:val="00302678"/>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consultantplus://offline/ref=1A36942B56C06C52B2FFE46E2C4027E53A27F609B54FFC8F90AA04C90F43e9N" TargetMode="External"/><Relationship Id="rId4" Type="http://schemas.openxmlformats.org/officeDocument/2006/relationships/hyperlink" Target="https://login.consultant.ru/link/?rnd=00C1EF970E41511016CC50508FC899E7&amp;req=doc&amp;base=PAP&amp;n=63213&amp;dst=100006&amp;fld=134&amp;date=29.07.2020" TargetMode="External"/><Relationship Id="rId5" Type="http://schemas.openxmlformats.org/officeDocument/2006/relationships/hyperlink" Target="https://login.consultant.ru/link/?req=doc&amp;base=PAP&amp;n=68653&amp;date=28.07.2020" TargetMode="External"/><Relationship Id="rId6"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7" Type="http://schemas.openxmlformats.org/officeDocument/2006/relationships/hyperlink" Target="https://login.consultant.ru/link/?rnd=00C1EF970E41511016CC50508FC899E7&amp;req=doc&amp;base=LAW&amp;n=357145&amp;dst=100045&amp;fld=134&amp;date=29.07.2020" TargetMode="External"/><Relationship Id="rId8" Type="http://schemas.openxmlformats.org/officeDocument/2006/relationships/hyperlink" Target="https://login.consultant.ru/link/?rnd=00C1EF970E41511016CC50508FC899E7&amp;req=doc&amp;base=LAW&amp;n=357145&amp;dst=100046&amp;fld=134&amp;date=29.07.2020" TargetMode="External"/><Relationship Id="rId9" Type="http://schemas.openxmlformats.org/officeDocument/2006/relationships/hyperlink" Target="https://login.consultant.ru/link/?rnd=00C1EF970E41511016CC50508FC899E7&amp;req=doc&amp;base=LAW&amp;n=357145&amp;dst=100248&amp;fld=134&amp;date=29.07.2020" TargetMode="External"/><Relationship Id="rId10" Type="http://schemas.openxmlformats.org/officeDocument/2006/relationships/hyperlink" Target="https://login.consultant.ru/link/?req=doc&amp;base=PAP&amp;n=68653&amp;date=28.07.2020" TargetMode="External"/><Relationship Id="rId11" Type="http://schemas.openxmlformats.org/officeDocument/2006/relationships/hyperlink" Target="https://login.consultant.ru/link/?req=doc&amp;base=LAW&amp;n=357145&amp;date=28.07.2020&amp;dst=100243&amp;fld=134" TargetMode="External"/><Relationship Id="rId12" Type="http://schemas.openxmlformats.org/officeDocument/2006/relationships/hyperlink" Target="https://login.consultant.ru/link/?req=doc&amp;base=LAW&amp;n=357145&amp;date=28.07.2020&amp;dst=100262&amp;fld=134" TargetMode="External"/><Relationship Id="rId13" Type="http://schemas.openxmlformats.org/officeDocument/2006/relationships/hyperlink" Target="https://login.consultant.ru/link/?req=doc&amp;base=LAW&amp;n=357176&amp;date=28.07.2020"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LibreOffice/7.2.1.2$Windows_X86_64 LibreOffice_project/87b77fad49947c1441b67c559c339af8f3517e22</Application>
  <AppVersion>15.0000</AppVersion>
  <Pages>9</Pages>
  <Words>4577</Words>
  <Characters>33348</Characters>
  <CharactersWithSpaces>38059</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2022-07-07T09:12:00Z</dcterms:created>
  <dc:creator>User</dc:creator>
  <dc:description/>
  <dc:language>ru-RU</dc:language>
  <cp:lastModifiedBy/>
  <cp:lastPrinted>2021-03-03T08:20:00Z</cp:lastPrinted>
  <dcterms:modified xsi:type="dcterms:W3CDTF">2022-07-28T16:31:17Z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