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300" w:after="0"/>
        <w:jc w:val="center"/>
        <w:rPr/>
      </w:pPr>
      <w:hyperlink r:id="rId2">
        <w:r>
          <w:rPr>
            <w:b/>
            <w:color w:val="auto"/>
            <w:sz w:val="23"/>
            <w:szCs w:val="23"/>
          </w:rPr>
          <w:t>Договор</w:t>
        </w:r>
      </w:hyperlink>
      <w:r>
        <w:rPr>
          <w:b/>
          <w:color w:val="auto"/>
          <w:sz w:val="23"/>
          <w:szCs w:val="23"/>
        </w:rPr>
        <w:t xml:space="preserve"> № ___________</w:t>
      </w:r>
    </w:p>
    <w:p>
      <w:pPr>
        <w:pStyle w:val="ConsPlusNormal"/>
        <w:jc w:val="center"/>
        <w:rPr>
          <w:color w:val="auto"/>
        </w:rPr>
      </w:pPr>
      <w:r>
        <w:rPr>
          <w:b/>
          <w:color w:val="auto"/>
          <w:sz w:val="23"/>
          <w:szCs w:val="23"/>
        </w:rPr>
        <w:t>участия в долевом строительстве нежилого здания</w:t>
      </w:r>
    </w:p>
    <w:p>
      <w:pPr>
        <w:pStyle w:val="ConsPlusNormal"/>
        <w:jc w:val="center"/>
        <w:rPr>
          <w:b/>
          <w:b/>
          <w:color w:val="auto"/>
          <w:sz w:val="23"/>
          <w:szCs w:val="23"/>
        </w:rPr>
      </w:pPr>
      <w:r>
        <w:rPr>
          <w:b/>
          <w:color w:val="auto"/>
          <w:sz w:val="23"/>
          <w:szCs w:val="23"/>
        </w:rPr>
      </w:r>
    </w:p>
    <w:p>
      <w:pPr>
        <w:pStyle w:val="ConsPlusNormal"/>
        <w:jc w:val="both"/>
        <w:rPr>
          <w:color w:val="auto"/>
        </w:rPr>
      </w:pPr>
      <w:r>
        <w:rPr>
          <w:rFonts w:cs="Times New Roman"/>
          <w:color w:val="auto"/>
          <w:sz w:val="23"/>
          <w:szCs w:val="23"/>
        </w:rPr>
        <w:t xml:space="preserve">г. Ялта, Республика Крым                            </w:t>
        <w:tab/>
        <w:tab/>
        <w:tab/>
        <w:t xml:space="preserve">                   "____" ____________ 2022г.</w:t>
      </w:r>
    </w:p>
    <w:p>
      <w:pPr>
        <w:pStyle w:val="ConsPlusNormal"/>
        <w:jc w:val="both"/>
        <w:rPr>
          <w:color w:val="auto"/>
        </w:rPr>
      </w:pPr>
      <w:r>
        <w:rPr>
          <w:color w:val="auto"/>
        </w:rPr>
      </w:r>
    </w:p>
    <w:p>
      <w:pPr>
        <w:pStyle w:val="ConsPlusNormal"/>
        <w:jc w:val="both"/>
        <w:rPr>
          <w:color w:val="auto"/>
          <w:sz w:val="20"/>
          <w:szCs w:val="20"/>
        </w:rPr>
      </w:pPr>
      <w:r>
        <w:rPr>
          <w:rFonts w:cs="Times New Roman"/>
          <w:color w:val="auto"/>
          <w:sz w:val="20"/>
          <w:szCs w:val="20"/>
        </w:rPr>
        <w:t>Общество с ограниченной ответственностью «Специализированный застройщик  "ГРИН СИТИ", ОГРН 1149102114897, ИНН 9102055037, зарегистрировано: 298637, Республика Крым, г.о. Ялта, г Ялта, ул Красных Партизан, д. 14, офис 16-13, именуемое в дальнейшем "Застройщик", в лице Директора Муравлева Александра Петровича</w:t>
      </w:r>
      <w:r>
        <w:rPr>
          <w:color w:val="auto"/>
          <w:sz w:val="20"/>
          <w:szCs w:val="20"/>
        </w:rPr>
        <w:t>, действующего на основании Устава, с одной стороны и __________________________________________________________</w:t>
      </w:r>
    </w:p>
    <w:p>
      <w:pPr>
        <w:pStyle w:val="ConsPlusNormal"/>
        <w:jc w:val="both"/>
        <w:rPr>
          <w:color w:val="auto"/>
          <w:sz w:val="20"/>
          <w:szCs w:val="20"/>
        </w:rPr>
      </w:pPr>
      <w:r>
        <w:rPr>
          <w:color w:val="auto"/>
          <w:sz w:val="20"/>
          <w:szCs w:val="20"/>
        </w:rPr>
        <w:t>именуемый в дальнейшем "Участник", с другой стороны заключили настоящий Договор о нижеследующем:</w:t>
      </w:r>
    </w:p>
    <w:p>
      <w:pPr>
        <w:pStyle w:val="ConsPlusNormal"/>
        <w:numPr>
          <w:ilvl w:val="0"/>
          <w:numId w:val="0"/>
        </w:numPr>
        <w:ind w:left="0" w:hanging="0"/>
        <w:jc w:val="center"/>
        <w:outlineLvl w:val="0"/>
        <w:rPr>
          <w:color w:val="auto"/>
          <w:sz w:val="20"/>
          <w:szCs w:val="20"/>
        </w:rPr>
      </w:pPr>
      <w:bookmarkStart w:id="0" w:name="Par30"/>
      <w:bookmarkEnd w:id="0"/>
      <w:r>
        <w:rPr>
          <w:b/>
          <w:color w:val="auto"/>
          <w:sz w:val="20"/>
          <w:szCs w:val="20"/>
        </w:rPr>
        <w:t>1. ОБЩИЕ ПОЛОЖЕНИЯ</w:t>
      </w:r>
    </w:p>
    <w:p>
      <w:pPr>
        <w:pStyle w:val="Normal"/>
        <w:spacing w:lineRule="atLeast" w:line="240" w:before="0" w:after="0"/>
        <w:jc w:val="both"/>
        <w:rPr>
          <w:color w:val="auto"/>
          <w:sz w:val="20"/>
          <w:szCs w:val="20"/>
        </w:rPr>
      </w:pPr>
      <w:r>
        <w:rPr>
          <w:rFonts w:ascii="Times New Roman" w:hAnsi="Times New Roman"/>
          <w:color w:val="auto"/>
          <w:sz w:val="20"/>
          <w:szCs w:val="20"/>
        </w:rPr>
        <w:t xml:space="preserve"> </w:t>
      </w:r>
      <w:r>
        <w:rPr>
          <w:rFonts w:ascii="Times New Roman" w:hAnsi="Times New Roman"/>
          <w:color w:val="auto"/>
          <w:sz w:val="20"/>
          <w:szCs w:val="20"/>
        </w:rPr>
        <w:t>1.1. Застройщик - юридическое лицо, имеющее в собственности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на этом земельном участке апарт-отеля на основании полученного разрешения на строительство.</w:t>
      </w:r>
    </w:p>
    <w:p>
      <w:pPr>
        <w:pStyle w:val="Normal"/>
        <w:spacing w:before="0" w:after="0"/>
        <w:jc w:val="both"/>
        <w:rPr>
          <w:color w:val="auto"/>
          <w:sz w:val="20"/>
          <w:szCs w:val="20"/>
        </w:rPr>
      </w:pPr>
      <w:r>
        <w:rPr>
          <w:rFonts w:ascii="Times New Roman" w:hAnsi="Times New Roman"/>
          <w:color w:val="auto"/>
          <w:sz w:val="20"/>
          <w:szCs w:val="20"/>
        </w:rPr>
        <w:t>1.2. Право Застройщика на привлечение денежных средств для строительства апарт-отеля с принятием на себя обязательств, после исполнения которых у Участника долевого строительства возникнет право собственности на нежилое помещение в строящемся апарт-отеле, подтверждают следующие документы:</w:t>
      </w:r>
    </w:p>
    <w:p>
      <w:pPr>
        <w:pStyle w:val="Normal"/>
        <w:spacing w:before="0" w:after="0"/>
        <w:jc w:val="both"/>
        <w:rPr>
          <w:color w:val="auto"/>
          <w:sz w:val="20"/>
          <w:szCs w:val="20"/>
        </w:rPr>
      </w:pPr>
      <w:r>
        <w:rPr>
          <w:rFonts w:ascii="Times New Roman" w:hAnsi="Times New Roman"/>
          <w:color w:val="auto"/>
          <w:sz w:val="20"/>
          <w:szCs w:val="20"/>
        </w:rPr>
        <w:t>- учредительные документы Застройщика;</w:t>
      </w:r>
    </w:p>
    <w:p>
      <w:pPr>
        <w:pStyle w:val="Normal"/>
        <w:spacing w:before="0" w:after="0"/>
        <w:jc w:val="both"/>
        <w:rPr>
          <w:color w:val="auto"/>
          <w:sz w:val="20"/>
          <w:szCs w:val="20"/>
        </w:rPr>
      </w:pPr>
      <w:r>
        <w:rPr>
          <w:rFonts w:ascii="Times New Roman" w:hAnsi="Times New Roman"/>
          <w:color w:val="auto"/>
          <w:sz w:val="20"/>
          <w:szCs w:val="20"/>
        </w:rPr>
        <w:t>- свидетельство о государственной регистрации Застройщика;</w:t>
      </w:r>
    </w:p>
    <w:p>
      <w:pPr>
        <w:pStyle w:val="Normal"/>
        <w:spacing w:before="0" w:after="0"/>
        <w:jc w:val="both"/>
        <w:rPr>
          <w:color w:val="auto"/>
          <w:sz w:val="20"/>
          <w:szCs w:val="20"/>
        </w:rPr>
      </w:pPr>
      <w:r>
        <w:rPr>
          <w:rFonts w:ascii="Times New Roman" w:hAnsi="Times New Roman"/>
          <w:color w:val="auto"/>
          <w:sz w:val="20"/>
          <w:szCs w:val="20"/>
        </w:rPr>
        <w:t>- свидетельство о постановке на учет в налоговом органе Застройщика;</w:t>
      </w:r>
    </w:p>
    <w:p>
      <w:pPr>
        <w:pStyle w:val="Normal"/>
        <w:spacing w:before="0" w:after="0"/>
        <w:jc w:val="both"/>
        <w:rPr>
          <w:color w:val="auto"/>
          <w:sz w:val="20"/>
          <w:szCs w:val="20"/>
        </w:rPr>
      </w:pPr>
      <w:r>
        <w:rPr>
          <w:rFonts w:ascii="Times New Roman" w:hAnsi="Times New Roman"/>
          <w:color w:val="auto"/>
          <w:sz w:val="20"/>
          <w:szCs w:val="20"/>
        </w:rPr>
        <w:t>-договор аренды земельного участка от 02.11.2016г., кадастровый № 90:25:010101:81;</w:t>
      </w:r>
    </w:p>
    <w:p>
      <w:pPr>
        <w:pStyle w:val="Normal"/>
        <w:spacing w:before="0" w:after="0"/>
        <w:jc w:val="both"/>
        <w:rPr>
          <w:color w:val="auto"/>
          <w:sz w:val="20"/>
          <w:szCs w:val="20"/>
        </w:rPr>
      </w:pPr>
      <w:r>
        <w:rPr>
          <w:rFonts w:ascii="Times New Roman" w:hAnsi="Times New Roman"/>
          <w:color w:val="auto"/>
          <w:sz w:val="20"/>
          <w:szCs w:val="20"/>
        </w:rPr>
        <w:t>- разрешение на строительство Объекта долевого строительства от 04 февраля 2022 года № 91-RU93311000-1704-2022;</w:t>
      </w:r>
    </w:p>
    <w:p>
      <w:pPr>
        <w:pStyle w:val="Normal"/>
        <w:spacing w:before="0" w:after="0"/>
        <w:jc w:val="both"/>
        <w:rPr>
          <w:color w:val="auto"/>
          <w:sz w:val="20"/>
          <w:szCs w:val="20"/>
        </w:rPr>
      </w:pPr>
      <w:r>
        <w:rPr>
          <w:rFonts w:ascii="Times New Roman" w:hAnsi="Times New Roman"/>
          <w:color w:val="auto"/>
          <w:sz w:val="20"/>
          <w:szCs w:val="20"/>
        </w:rPr>
        <w:t>-  проектная декларация № 91-000393 (дата первичного размещения 22.02.2022 года)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w:t>
      </w:r>
    </w:p>
    <w:p>
      <w:pPr>
        <w:pStyle w:val="Normal"/>
        <w:spacing w:before="0" w:after="0"/>
        <w:jc w:val="both"/>
        <w:rPr>
          <w:color w:val="auto"/>
          <w:sz w:val="20"/>
          <w:szCs w:val="20"/>
        </w:rPr>
      </w:pPr>
      <w:r>
        <w:rPr>
          <w:rFonts w:ascii="Times New Roman" w:hAnsi="Times New Roman"/>
          <w:color w:val="auto"/>
          <w:sz w:val="20"/>
          <w:szCs w:val="20"/>
        </w:rPr>
        <w:t>- заключение экспертизы проектной документации № 91-2-1-3-004028-2022 от 27.01.2022г.</w:t>
      </w:r>
    </w:p>
    <w:p>
      <w:pPr>
        <w:pStyle w:val="Normal"/>
        <w:spacing w:before="0" w:after="0"/>
        <w:jc w:val="both"/>
        <w:rPr>
          <w:color w:val="auto"/>
          <w:sz w:val="20"/>
          <w:szCs w:val="20"/>
        </w:rPr>
      </w:pPr>
      <w:r>
        <w:rPr>
          <w:rFonts w:ascii="Times New Roman" w:hAnsi="Times New Roman"/>
          <w:color w:val="auto"/>
          <w:sz w:val="20"/>
          <w:szCs w:val="20"/>
        </w:rPr>
        <w:t>1.3. Объект долевого строительства: нежилое здание апарт-отеля по адресу Республика Крым, г. Ялта, ул. Дражинского, к/н 90:25:010101:81, строящийся (создаваемый) Застройщиком с привлечением денежных средств Депонентов в рамках разрешения на строительство № 91-RU93311000-1704-2022 от 04 февраля 2022г.</w:t>
      </w:r>
    </w:p>
    <w:p>
      <w:pPr>
        <w:pStyle w:val="Normal"/>
        <w:spacing w:before="0" w:after="0"/>
        <w:jc w:val="both"/>
        <w:rPr>
          <w:color w:val="auto"/>
          <w:sz w:val="20"/>
          <w:szCs w:val="20"/>
        </w:rPr>
      </w:pPr>
      <w:r>
        <w:rPr>
          <w:rFonts w:ascii="Times New Roman" w:hAnsi="Times New Roman"/>
          <w:color w:val="auto"/>
          <w:sz w:val="20"/>
          <w:szCs w:val="20"/>
        </w:rPr>
        <w:t>Характеристики объекта долевого строительства: нежилое здание общей проектной площадью 19 008,00 кв. м, количество этажей – 13, строительство которого будет осуществляться Застройщиком по адресу: Республика Крым, г. Ялта, ул. Дражинского, к/н 90:25:010101:81 на земельном участке площадью 4701 кв. м., кадастровый номер 90:25:010101:81;</w:t>
      </w:r>
    </w:p>
    <w:p>
      <w:pPr>
        <w:pStyle w:val="Normal"/>
        <w:spacing w:before="0" w:after="0"/>
        <w:jc w:val="both"/>
        <w:rPr>
          <w:color w:val="auto"/>
          <w:sz w:val="20"/>
          <w:szCs w:val="20"/>
        </w:rPr>
      </w:pPr>
      <w:r>
        <w:rPr>
          <w:rFonts w:ascii="Times New Roman" w:hAnsi="Times New Roman"/>
          <w:color w:val="auto"/>
          <w:sz w:val="20"/>
          <w:szCs w:val="20"/>
        </w:rPr>
        <w:t>- материал наружных стен – с монолитным железобетонным каркасом и стенами из мелкоштучных каменных материалов (кирпич, керамические камни, блоки и др.);</w:t>
      </w:r>
    </w:p>
    <w:p>
      <w:pPr>
        <w:pStyle w:val="Normal"/>
        <w:spacing w:before="0" w:after="0"/>
        <w:jc w:val="both"/>
        <w:rPr>
          <w:color w:val="auto"/>
          <w:sz w:val="20"/>
          <w:szCs w:val="20"/>
        </w:rPr>
      </w:pPr>
      <w:r>
        <w:rPr>
          <w:rFonts w:ascii="Times New Roman" w:hAnsi="Times New Roman"/>
          <w:color w:val="auto"/>
          <w:sz w:val="20"/>
          <w:szCs w:val="20"/>
        </w:rPr>
        <w:t>- материал поэтажных перекрытий – монолитные железобетонные;</w:t>
      </w:r>
    </w:p>
    <w:p>
      <w:pPr>
        <w:pStyle w:val="Normal"/>
        <w:spacing w:before="0" w:after="0"/>
        <w:jc w:val="both"/>
        <w:rPr>
          <w:color w:val="auto"/>
          <w:sz w:val="20"/>
          <w:szCs w:val="20"/>
        </w:rPr>
      </w:pPr>
      <w:r>
        <w:rPr>
          <w:rFonts w:ascii="Times New Roman" w:hAnsi="Times New Roman"/>
          <w:color w:val="auto"/>
          <w:sz w:val="20"/>
          <w:szCs w:val="20"/>
        </w:rPr>
        <w:t>- класс энергоэффективности – не нормируется;</w:t>
      </w:r>
    </w:p>
    <w:p>
      <w:pPr>
        <w:pStyle w:val="Normal"/>
        <w:spacing w:before="0" w:after="0"/>
        <w:jc w:val="both"/>
        <w:rPr>
          <w:color w:val="auto"/>
          <w:sz w:val="20"/>
          <w:szCs w:val="20"/>
        </w:rPr>
      </w:pPr>
      <w:r>
        <w:rPr>
          <w:rFonts w:ascii="Times New Roman" w:hAnsi="Times New Roman"/>
          <w:color w:val="auto"/>
          <w:sz w:val="20"/>
          <w:szCs w:val="20"/>
        </w:rPr>
        <w:t>- класс сейсмостойкости – 8 баллов.</w:t>
      </w:r>
    </w:p>
    <w:p>
      <w:pPr>
        <w:pStyle w:val="Normal"/>
        <w:spacing w:before="0" w:after="0"/>
        <w:jc w:val="both"/>
        <w:rPr>
          <w:color w:val="auto"/>
          <w:sz w:val="20"/>
          <w:szCs w:val="20"/>
        </w:rPr>
      </w:pPr>
      <w:r>
        <w:rPr>
          <w:rFonts w:ascii="Times New Roman" w:hAnsi="Times New Roman"/>
          <w:color w:val="auto"/>
          <w:sz w:val="20"/>
          <w:szCs w:val="20"/>
        </w:rPr>
        <w:t>1.4. Участник долевого строительства – гражданин, индивидуальный предприниматель, юридическое лицо, вносящий Застройщику денежные средства для строительства апарт-отеля на условиях настоящего Договора.</w:t>
      </w:r>
    </w:p>
    <w:p>
      <w:pPr>
        <w:pStyle w:val="Normal"/>
        <w:spacing w:before="0" w:after="0"/>
        <w:rPr>
          <w:color w:val="auto"/>
          <w:sz w:val="20"/>
          <w:szCs w:val="20"/>
        </w:rPr>
      </w:pPr>
      <w:r>
        <w:rPr>
          <w:rFonts w:ascii="Times New Roman" w:hAnsi="Times New Roman"/>
          <w:color w:val="auto"/>
          <w:sz w:val="20"/>
          <w:szCs w:val="20"/>
        </w:rPr>
        <w:t>1.5. Проектная декларация - информация о Застройщике и информация о проекте строительства. Оригинал проектной декларации хранит Застройщик.</w:t>
      </w:r>
    </w:p>
    <w:p>
      <w:pPr>
        <w:pStyle w:val="Normal"/>
        <w:spacing w:before="0" w:after="0"/>
        <w:rPr>
          <w:color w:val="auto"/>
          <w:sz w:val="20"/>
          <w:szCs w:val="20"/>
        </w:rPr>
      </w:pPr>
      <w:r>
        <w:rPr>
          <w:rFonts w:ascii="Times New Roman" w:hAnsi="Times New Roman"/>
          <w:color w:val="auto"/>
          <w:sz w:val="20"/>
          <w:szCs w:val="20"/>
        </w:rPr>
        <w:t>1.6. Общее имущество Объекта - общие помещения, несущие конструкции Объекта, механическое, электрическое, санитарно-техническое и иное оборудование за пределами и внутри нежилых помещений Объекта, обслуживающее более одного нежилого помещения.</w:t>
      </w:r>
    </w:p>
    <w:p>
      <w:pPr>
        <w:pStyle w:val="Normal"/>
        <w:spacing w:before="0" w:after="0"/>
        <w:rPr>
          <w:color w:val="auto"/>
          <w:sz w:val="20"/>
          <w:szCs w:val="20"/>
        </w:rPr>
      </w:pPr>
      <w:r>
        <w:rPr>
          <w:rFonts w:ascii="Times New Roman" w:hAnsi="Times New Roman"/>
          <w:color w:val="auto"/>
          <w:sz w:val="20"/>
          <w:szCs w:val="20"/>
        </w:rPr>
        <w:t>1.7. Нежилые помещения - нежилые помещения в Объекте, подлежащие передаче в собственность Участнику долевого строительства после ввода в эксплуатацию Объекта.</w:t>
      </w:r>
    </w:p>
    <w:p>
      <w:pPr>
        <w:pStyle w:val="Normal"/>
        <w:spacing w:before="0" w:after="0"/>
        <w:jc w:val="both"/>
        <w:rPr>
          <w:color w:val="auto"/>
          <w:sz w:val="20"/>
          <w:szCs w:val="20"/>
        </w:rPr>
      </w:pPr>
      <w:r>
        <w:rPr>
          <w:rFonts w:ascii="Times New Roman" w:hAnsi="Times New Roman"/>
          <w:color w:val="auto"/>
          <w:sz w:val="20"/>
          <w:szCs w:val="20"/>
        </w:rPr>
        <w:t xml:space="preserve">1.8. </w:t>
      </w:r>
      <w:r>
        <w:rPr>
          <w:rFonts w:ascii="Times New Roman" w:hAnsi="Times New Roman"/>
          <w:color w:val="auto" w:themeShade="bf"/>
          <w:sz w:val="20"/>
          <w:szCs w:val="20"/>
        </w:rPr>
        <w:t>Эскроу-агент (Акцептант):</w:t>
      </w:r>
      <w:r>
        <w:rPr>
          <w:rFonts w:ascii="Times New Roman" w:hAnsi="Times New Roman"/>
          <w:b/>
          <w:color w:val="auto" w:themeShade="bf"/>
          <w:sz w:val="20"/>
          <w:szCs w:val="20"/>
        </w:rPr>
        <w:t xml:space="preserve"> </w:t>
      </w:r>
      <w:r>
        <w:rPr>
          <w:rFonts w:ascii="Times New Roman" w:hAnsi="Times New Roman"/>
          <w:color w:val="auto" w:themeShade="bf"/>
          <w:sz w:val="20"/>
          <w:szCs w:val="20"/>
        </w:rPr>
        <w:t>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pPr>
        <w:pStyle w:val="NoSpacing"/>
        <w:jc w:val="both"/>
        <w:rPr>
          <w:color w:val="auto"/>
          <w:sz w:val="20"/>
          <w:szCs w:val="20"/>
        </w:rPr>
      </w:pPr>
      <w:r>
        <w:rPr>
          <w:rFonts w:cs="Times New Roman" w:ascii="Times New Roman" w:hAnsi="Times New Roman"/>
          <w:color w:val="auto"/>
          <w:sz w:val="20"/>
          <w:szCs w:val="20"/>
        </w:rPr>
        <w:t xml:space="preserve">1.9. </w:t>
      </w:r>
      <w:r>
        <w:rPr>
          <w:rFonts w:cs="Times New Roman" w:ascii="Times New Roman" w:hAnsi="Times New Roman"/>
          <w:color w:val="auto" w:themeShade="bf"/>
          <w:sz w:val="20"/>
          <w:szCs w:val="20"/>
        </w:rPr>
        <w:t>Настоящим участник(-и) и застройщик (Оференты)1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Договора2 путем открытия Акцептантом специального счета эскроу в порядке, предусмотренном Общими условиями (далее – Договор Эскроу). Настоящим застройщик соглашается на использование участником(-ками)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 (Правила).</w:t>
      </w:r>
    </w:p>
    <w:p>
      <w:pPr>
        <w:pStyle w:val="NoSpacing"/>
        <w:jc w:val="both"/>
        <w:rPr>
          <w:color w:val="auto"/>
          <w:sz w:val="20"/>
          <w:szCs w:val="20"/>
        </w:rPr>
      </w:pPr>
      <w:r>
        <w:rPr>
          <w:rFonts w:cs="Times New Roman" w:ascii="Times New Roman" w:hAnsi="Times New Roman"/>
          <w:color w:val="auto" w:themeShade="bf"/>
          <w:sz w:val="20"/>
          <w:szCs w:val="20"/>
        </w:rPr>
        <w:t>1.10. Оференты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 Договор Эскроу считается заключенным Сторонами с даты акцептования Эскроуагентом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w:t>
      </w:r>
    </w:p>
    <w:p>
      <w:pPr>
        <w:pStyle w:val="NoSpacing"/>
        <w:jc w:val="both"/>
        <w:rPr>
          <w:color w:val="auto"/>
          <w:sz w:val="20"/>
          <w:szCs w:val="20"/>
        </w:rPr>
      </w:pPr>
      <w:r>
        <w:rPr>
          <w:rFonts w:cs="Times New Roman" w:ascii="Times New Roman" w:hAnsi="Times New Roman"/>
          <w:color w:val="auto" w:themeShade="bf"/>
          <w:sz w:val="20"/>
          <w:szCs w:val="20"/>
        </w:rPr>
        <w:t>1.11.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w:t>
      </w:r>
    </w:p>
    <w:p>
      <w:pPr>
        <w:pStyle w:val="NoSpacing"/>
        <w:jc w:val="both"/>
        <w:rPr>
          <w:color w:val="auto"/>
          <w:sz w:val="20"/>
          <w:szCs w:val="20"/>
        </w:rPr>
      </w:pPr>
      <w:r>
        <w:rPr>
          <w:rFonts w:cs="Times New Roman" w:ascii="Times New Roman" w:hAnsi="Times New Roman"/>
          <w:color w:val="auto" w:themeShade="bf"/>
          <w:sz w:val="20"/>
          <w:szCs w:val="20"/>
        </w:rPr>
        <w:t>1.12.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п. 3.1. настоящего Договора . 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pPr>
        <w:pStyle w:val="Normal"/>
        <w:spacing w:before="0" w:after="0"/>
        <w:jc w:val="both"/>
        <w:rPr>
          <w:rFonts w:ascii="Times New Roman" w:hAnsi="Times New Roman"/>
          <w:color w:val="auto"/>
          <w:sz w:val="20"/>
          <w:szCs w:val="20"/>
        </w:rPr>
      </w:pPr>
      <w:r>
        <w:rPr>
          <w:rFonts w:ascii="Times New Roman" w:hAnsi="Times New Roman"/>
          <w:color w:val="auto"/>
          <w:sz w:val="20"/>
          <w:szCs w:val="20"/>
        </w:rPr>
      </w:r>
    </w:p>
    <w:p>
      <w:pPr>
        <w:pStyle w:val="ConsPlusNormal"/>
        <w:numPr>
          <w:ilvl w:val="0"/>
          <w:numId w:val="0"/>
        </w:numPr>
        <w:ind w:left="0" w:hanging="0"/>
        <w:jc w:val="center"/>
        <w:outlineLvl w:val="0"/>
        <w:rPr>
          <w:color w:val="auto"/>
          <w:sz w:val="20"/>
          <w:szCs w:val="20"/>
        </w:rPr>
      </w:pPr>
      <w:r>
        <w:rPr>
          <w:b/>
          <w:color w:val="auto"/>
          <w:sz w:val="20"/>
          <w:szCs w:val="20"/>
        </w:rPr>
        <w:t>2. ПРЕДМЕТ ДОГОВОРА</w:t>
      </w:r>
    </w:p>
    <w:p>
      <w:pPr>
        <w:pStyle w:val="Normal"/>
        <w:spacing w:lineRule="auto" w:line="240" w:before="0" w:after="0"/>
        <w:jc w:val="both"/>
        <w:rPr/>
      </w:pPr>
      <w:r>
        <w:rPr>
          <w:rFonts w:ascii="Times New Roman" w:hAnsi="Times New Roman"/>
          <w:color w:val="auto"/>
          <w:sz w:val="20"/>
          <w:szCs w:val="20"/>
        </w:rPr>
        <w:t xml:space="preserve">2.1. По настоящему Договору Застройщик обязуется в предусмотренный Договором срок своими силами и (или) с привлечением других лиц построить нежилое здание – апарт-отель и после получения разрешения на ввод в эксплуатацию здания  передать Помещение, указанное в </w:t>
      </w:r>
      <w:hyperlink r:id="rId3">
        <w:r>
          <w:rPr>
            <w:rFonts w:ascii="Times New Roman" w:hAnsi="Times New Roman"/>
            <w:color w:val="auto"/>
            <w:sz w:val="20"/>
            <w:szCs w:val="20"/>
          </w:rPr>
          <w:t>п. 2.2</w:t>
        </w:r>
      </w:hyperlink>
      <w:r>
        <w:rPr>
          <w:rFonts w:ascii="Times New Roman" w:hAnsi="Times New Roman"/>
          <w:color w:val="auto"/>
          <w:sz w:val="20"/>
          <w:szCs w:val="20"/>
        </w:rPr>
        <w:t xml:space="preserve"> настоящего Договора, Участнику долевого строительства, а Участник долевого строительства обязуется уплатить обусловленную Договором цену и принять Помещение при наличии разрешения на ввод в эксплуатацию нежилого здания.</w:t>
      </w:r>
    </w:p>
    <w:p>
      <w:pPr>
        <w:pStyle w:val="ConsPlusNormal"/>
        <w:jc w:val="both"/>
        <w:rPr>
          <w:color w:val="auto"/>
          <w:sz w:val="20"/>
          <w:szCs w:val="20"/>
        </w:rPr>
      </w:pPr>
      <w:r>
        <w:rPr>
          <w:color w:val="auto"/>
          <w:sz w:val="20"/>
          <w:szCs w:val="20"/>
        </w:rPr>
        <w:t xml:space="preserve"> </w:t>
      </w:r>
      <w:r>
        <w:rPr>
          <w:color w:val="auto"/>
          <w:sz w:val="20"/>
          <w:szCs w:val="20"/>
        </w:rPr>
        <w:t>2.2. Основные характеристики объекта долевого строительства, подлежащего передаче по настоящему Договору:</w:t>
      </w:r>
    </w:p>
    <w:tbl>
      <w:tblPr>
        <w:tblW w:w="10054" w:type="dxa"/>
        <w:jc w:val="left"/>
        <w:tblInd w:w="78" w:type="dxa"/>
        <w:tblLayout w:type="fixed"/>
        <w:tblCellMar>
          <w:top w:w="0" w:type="dxa"/>
          <w:left w:w="78" w:type="dxa"/>
          <w:bottom w:w="0" w:type="dxa"/>
          <w:right w:w="108" w:type="dxa"/>
        </w:tblCellMar>
        <w:tblLook w:firstRow="0" w:noVBand="0" w:lastRow="0" w:firstColumn="0" w:lastColumn="0" w:noHBand="0" w:val="0000"/>
      </w:tblPr>
      <w:tblGrid>
        <w:gridCol w:w="4958"/>
        <w:gridCol w:w="15"/>
        <w:gridCol w:w="5080"/>
      </w:tblGrid>
      <w:tr>
        <w:trPr>
          <w:trHeight w:val="390" w:hRule="atLeast"/>
        </w:trPr>
        <w:tc>
          <w:tcPr>
            <w:tcW w:w="4973" w:type="dxa"/>
            <w:gridSpan w:val="2"/>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color w:val="auto"/>
                <w:sz w:val="20"/>
                <w:szCs w:val="20"/>
              </w:rPr>
            </w:pPr>
            <w:r>
              <w:rPr>
                <w:rFonts w:cs="Times New Roman"/>
                <w:color w:val="auto"/>
                <w:sz w:val="20"/>
                <w:szCs w:val="20"/>
              </w:rPr>
              <w:t>Тип объекта</w:t>
            </w:r>
          </w:p>
        </w:tc>
        <w:tc>
          <w:tcPr>
            <w:tcW w:w="5080" w:type="dxa"/>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rPr>
                <w:rFonts w:cs="Times New Roman"/>
                <w:color w:val="auto"/>
                <w:sz w:val="20"/>
                <w:szCs w:val="20"/>
              </w:rPr>
            </w:pPr>
            <w:r>
              <w:rPr>
                <w:rFonts w:cs="Times New Roman"/>
                <w:color w:val="auto"/>
                <w:sz w:val="20"/>
                <w:szCs w:val="20"/>
              </w:rPr>
              <w:t>Нежилое помещение</w:t>
            </w:r>
          </w:p>
        </w:tc>
      </w:tr>
      <w:tr>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color w:val="auto"/>
                <w:sz w:val="20"/>
                <w:szCs w:val="20"/>
              </w:rPr>
            </w:pPr>
            <w:r>
              <w:rPr>
                <w:rFonts w:cs="Times New Roman"/>
                <w:color w:val="auto"/>
                <w:sz w:val="20"/>
                <w:szCs w:val="20"/>
              </w:rPr>
              <w:t>Этаж</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color w:val="auto"/>
                <w:sz w:val="20"/>
                <w:szCs w:val="20"/>
                <w:highlight w:val="yellow"/>
              </w:rPr>
            </w:pPr>
            <w:r>
              <w:rPr>
                <w:rFonts w:cs="Times New Roman"/>
                <w:color w:val="auto"/>
                <w:sz w:val="20"/>
                <w:szCs w:val="20"/>
                <w:highlight w:val="yellow"/>
              </w:rPr>
            </w:r>
          </w:p>
        </w:tc>
      </w:tr>
      <w:tr>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rPr>
                <w:rFonts w:cs="Times New Roman"/>
                <w:color w:val="auto"/>
                <w:sz w:val="20"/>
                <w:szCs w:val="20"/>
              </w:rPr>
            </w:pPr>
            <w:r>
              <w:rPr>
                <w:rFonts w:cs="Times New Roman"/>
                <w:color w:val="auto"/>
                <w:sz w:val="20"/>
                <w:szCs w:val="20"/>
              </w:rPr>
              <w:t xml:space="preserve">               </w:t>
            </w:r>
            <w:r>
              <w:rPr>
                <w:rFonts w:cs="Times New Roman"/>
                <w:color w:val="auto"/>
                <w:sz w:val="20"/>
                <w:szCs w:val="20"/>
              </w:rPr>
              <w:t>Строительный номер  помещения</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color w:val="auto"/>
                <w:sz w:val="20"/>
                <w:szCs w:val="20"/>
              </w:rPr>
            </w:pPr>
            <w:r>
              <w:rPr>
                <w:rFonts w:cs="Times New Roman"/>
                <w:color w:val="auto"/>
                <w:sz w:val="20"/>
                <w:szCs w:val="20"/>
              </w:rPr>
            </w:r>
          </w:p>
        </w:tc>
      </w:tr>
      <w:tr>
        <w:trPr>
          <w:trHeight w:val="329" w:hRule="atLeast"/>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color w:val="auto"/>
                <w:sz w:val="20"/>
                <w:szCs w:val="20"/>
              </w:rPr>
            </w:pPr>
            <w:r>
              <w:rPr>
                <w:rFonts w:cs="Times New Roman"/>
                <w:color w:val="auto"/>
                <w:sz w:val="20"/>
                <w:szCs w:val="20"/>
              </w:rPr>
              <w:t>Общая проектная площадь нежилого помещения в кв.м (с учётом проектной площади летних помещений)</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color w:val="auto"/>
                <w:sz w:val="20"/>
                <w:szCs w:val="20"/>
              </w:rPr>
            </w:pPr>
            <w:r>
              <w:rPr>
                <w:rFonts w:cs="Times New Roman"/>
                <w:color w:val="auto"/>
                <w:sz w:val="20"/>
                <w:szCs w:val="20"/>
              </w:rPr>
            </w:r>
          </w:p>
        </w:tc>
      </w:tr>
      <w:tr>
        <w:trPr>
          <w:trHeight w:val="390" w:hRule="atLeast"/>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color w:val="auto"/>
                <w:sz w:val="20"/>
                <w:szCs w:val="20"/>
              </w:rPr>
            </w:pPr>
            <w:r>
              <w:rPr>
                <w:rFonts w:cs="Times New Roman"/>
                <w:color w:val="auto"/>
                <w:sz w:val="20"/>
                <w:szCs w:val="20"/>
              </w:rPr>
              <w:t xml:space="preserve"> </w:t>
            </w:r>
            <w:r>
              <w:rPr>
                <w:rFonts w:cs="Times New Roman"/>
                <w:color w:val="auto"/>
                <w:sz w:val="20"/>
                <w:szCs w:val="20"/>
              </w:rPr>
              <w:t>проектная площадь летних помещений (балконы, лоджии, террасы при наличии) в кв.м.</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color w:val="auto"/>
                <w:sz w:val="20"/>
                <w:szCs w:val="20"/>
                <w:highlight w:val="yellow"/>
              </w:rPr>
            </w:pPr>
            <w:r>
              <w:rPr>
                <w:rFonts w:cs="Times New Roman"/>
                <w:color w:val="auto"/>
                <w:sz w:val="20"/>
                <w:szCs w:val="20"/>
                <w:highlight w:val="yellow"/>
              </w:rPr>
            </w:r>
          </w:p>
        </w:tc>
      </w:tr>
      <w:tr>
        <w:trPr>
          <w:trHeight w:val="329" w:hRule="atLeast"/>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color w:val="auto"/>
                <w:sz w:val="20"/>
                <w:szCs w:val="20"/>
              </w:rPr>
            </w:pPr>
            <w:r>
              <w:rPr>
                <w:rFonts w:cs="Times New Roman"/>
                <w:color w:val="auto"/>
                <w:sz w:val="20"/>
                <w:szCs w:val="20"/>
              </w:rPr>
              <w:t>Внутреннее оснащение на момент сдачи Объекта</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snapToGrid w:val="false"/>
              <w:ind w:left="-142" w:firstLine="567"/>
              <w:jc w:val="center"/>
              <w:rPr>
                <w:rFonts w:cs="Times New Roman"/>
                <w:color w:val="auto"/>
                <w:sz w:val="20"/>
                <w:szCs w:val="20"/>
              </w:rPr>
            </w:pPr>
            <w:r>
              <w:rPr>
                <w:rFonts w:cs="Times New Roman"/>
                <w:color w:val="auto"/>
                <w:sz w:val="20"/>
                <w:szCs w:val="20"/>
              </w:rPr>
              <w:t>Входная дверь. Остекление. Электрификация. Счетчики: вода, электричество. Перила на балконах (при наличии)</w:t>
            </w:r>
          </w:p>
          <w:p>
            <w:pPr>
              <w:pStyle w:val="1"/>
              <w:widowControl w:val="false"/>
              <w:snapToGrid w:val="false"/>
              <w:ind w:left="-142" w:firstLine="567"/>
              <w:jc w:val="center"/>
              <w:rPr>
                <w:rFonts w:cs="Times New Roman"/>
                <w:color w:val="auto"/>
                <w:sz w:val="20"/>
                <w:szCs w:val="20"/>
              </w:rPr>
            </w:pPr>
            <w:r>
              <w:rPr>
                <w:rFonts w:cs="Times New Roman"/>
                <w:color w:val="auto"/>
                <w:sz w:val="20"/>
                <w:szCs w:val="20"/>
              </w:rPr>
            </w:r>
          </w:p>
        </w:tc>
      </w:tr>
      <w:tr>
        <w:trPr>
          <w:trHeight w:val="329" w:hRule="atLeast"/>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color w:val="auto"/>
                <w:sz w:val="20"/>
                <w:szCs w:val="20"/>
              </w:rPr>
            </w:pPr>
            <w:r>
              <w:rPr>
                <w:rFonts w:cs="Times New Roman"/>
                <w:color w:val="auto"/>
                <w:sz w:val="20"/>
                <w:szCs w:val="20"/>
              </w:rPr>
              <w:t>Планировка/отделка</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snapToGrid w:val="false"/>
              <w:ind w:left="-142" w:firstLine="567"/>
              <w:jc w:val="center"/>
              <w:rPr>
                <w:rFonts w:cs="Times New Roman"/>
                <w:color w:val="auto"/>
                <w:sz w:val="20"/>
                <w:szCs w:val="20"/>
              </w:rPr>
            </w:pPr>
            <w:r>
              <w:rPr>
                <w:rFonts w:cs="Times New Roman"/>
                <w:color w:val="auto"/>
                <w:sz w:val="20"/>
                <w:szCs w:val="20"/>
              </w:rPr>
              <w:t>Свободная/без чистовой отделки</w:t>
            </w:r>
          </w:p>
        </w:tc>
      </w:tr>
    </w:tbl>
    <w:p>
      <w:pPr>
        <w:pStyle w:val="1"/>
        <w:ind w:left="8" w:hanging="0"/>
        <w:jc w:val="both"/>
        <w:rPr>
          <w:color w:val="auto"/>
          <w:sz w:val="20"/>
          <w:szCs w:val="20"/>
        </w:rPr>
      </w:pPr>
      <w:r>
        <w:rPr>
          <w:rFonts w:cs="Times New Roman"/>
          <w:color w:val="auto"/>
          <w:sz w:val="20"/>
          <w:szCs w:val="20"/>
        </w:rPr>
        <w:t>2.3. Окончательное определение площади Объекта долевого строительства, подлежащего передаче по настоящему Договору, производится Застройщиком после получения разрешения на ввод Объекта в эксплуатацию, с учетом данных технической инвентаризации Объекта.</w:t>
      </w:r>
    </w:p>
    <w:p>
      <w:pPr>
        <w:pStyle w:val="1"/>
        <w:ind w:left="8" w:hanging="0"/>
        <w:jc w:val="both"/>
        <w:rPr>
          <w:color w:val="auto"/>
          <w:sz w:val="20"/>
          <w:szCs w:val="20"/>
        </w:rPr>
      </w:pPr>
      <w:r>
        <w:rPr>
          <w:rFonts w:cs="Times New Roman"/>
          <w:color w:val="auto"/>
          <w:sz w:val="20"/>
          <w:szCs w:val="20"/>
        </w:rPr>
        <w:t xml:space="preserve">2.4.  Схема расположения указанных нежилых помещений, площади нежилых помещений каждого в отдельности, расположение частей нежилых помещений по отношению друг к другу, количество и площади частей нежилых помещений приводятся в Плане (Приложении N 1 к настоящему Договору). </w:t>
      </w:r>
    </w:p>
    <w:p>
      <w:pPr>
        <w:pStyle w:val="1"/>
        <w:ind w:left="8" w:hanging="0"/>
        <w:jc w:val="both"/>
        <w:rPr>
          <w:color w:val="auto"/>
          <w:sz w:val="20"/>
          <w:szCs w:val="20"/>
        </w:rPr>
      </w:pPr>
      <w:r>
        <w:rPr>
          <w:rFonts w:cs="Times New Roman"/>
          <w:color w:val="auto"/>
          <w:sz w:val="20"/>
          <w:szCs w:val="20"/>
        </w:rPr>
        <w:t>Также Участник долевого строительства получает долю в праве собственности на общее имущество Объекта пропорционально размеру нежилых помещений</w:t>
      </w:r>
      <w:bookmarkStart w:id="1" w:name="Par70"/>
      <w:bookmarkEnd w:id="1"/>
      <w:r>
        <w:rPr>
          <w:rFonts w:cs="Times New Roman"/>
          <w:color w:val="auto"/>
          <w:sz w:val="20"/>
          <w:szCs w:val="20"/>
        </w:rPr>
        <w:t>.</w:t>
      </w:r>
      <w:bookmarkStart w:id="2" w:name="Par71"/>
      <w:bookmarkEnd w:id="2"/>
    </w:p>
    <w:p>
      <w:pPr>
        <w:pStyle w:val="1"/>
        <w:ind w:left="8" w:hanging="0"/>
        <w:jc w:val="both"/>
        <w:rPr/>
      </w:pPr>
      <w:r>
        <w:rPr>
          <w:rFonts w:cs="Times New Roman"/>
          <w:color w:val="auto"/>
          <w:sz w:val="20"/>
          <w:szCs w:val="20"/>
        </w:rPr>
        <w:t xml:space="preserve">2.5. Риск случайной гибели или случайного повреждения Объекта до его передачи Участнику долевого строительства по передаточному </w:t>
      </w:r>
      <w:hyperlink r:id="rId4">
        <w:r>
          <w:rPr>
            <w:rFonts w:cs="Times New Roman"/>
            <w:color w:val="auto"/>
            <w:sz w:val="20"/>
            <w:szCs w:val="20"/>
          </w:rPr>
          <w:t>акту</w:t>
        </w:r>
      </w:hyperlink>
      <w:r>
        <w:rPr>
          <w:rFonts w:cs="Times New Roman"/>
          <w:color w:val="auto"/>
          <w:sz w:val="20"/>
          <w:szCs w:val="20"/>
        </w:rPr>
        <w:t xml:space="preserve"> несет Застройщик.</w:t>
      </w:r>
    </w:p>
    <w:p>
      <w:pPr>
        <w:pStyle w:val="1"/>
        <w:ind w:left="8" w:hanging="0"/>
        <w:jc w:val="both"/>
        <w:rPr>
          <w:rFonts w:cs="Times New Roman"/>
          <w:color w:val="auto"/>
          <w:sz w:val="20"/>
          <w:szCs w:val="20"/>
        </w:rPr>
      </w:pPr>
      <w:r>
        <w:rPr>
          <w:rFonts w:cs="Times New Roman"/>
          <w:color w:val="auto"/>
          <w:sz w:val="20"/>
          <w:szCs w:val="20"/>
        </w:rPr>
      </w:r>
    </w:p>
    <w:p>
      <w:pPr>
        <w:pStyle w:val="Normal"/>
        <w:spacing w:lineRule="auto" w:line="240" w:before="0" w:after="0"/>
        <w:jc w:val="center"/>
        <w:rPr>
          <w:color w:val="auto"/>
          <w:sz w:val="20"/>
          <w:szCs w:val="20"/>
        </w:rPr>
      </w:pPr>
      <w:r>
        <w:rPr>
          <w:rFonts w:ascii="Times New Roman" w:hAnsi="Times New Roman"/>
          <w:b/>
          <w:color w:val="auto"/>
          <w:sz w:val="20"/>
          <w:szCs w:val="20"/>
        </w:rPr>
        <w:t>3. ЦЕНА ДОГОВОРА И ПОРЯДОК ОПЛАТЫ</w:t>
      </w:r>
    </w:p>
    <w:p>
      <w:pPr>
        <w:pStyle w:val="Normal"/>
        <w:spacing w:before="0" w:after="0"/>
        <w:jc w:val="both"/>
        <w:rPr>
          <w:color w:val="auto"/>
          <w:sz w:val="20"/>
          <w:szCs w:val="20"/>
        </w:rPr>
      </w:pPr>
      <w:bookmarkStart w:id="3" w:name="p32"/>
      <w:bookmarkEnd w:id="3"/>
      <w:r>
        <w:rPr>
          <w:rFonts w:ascii="Times New Roman" w:hAnsi="Times New Roman"/>
          <w:color w:val="auto"/>
          <w:sz w:val="20"/>
          <w:szCs w:val="20"/>
        </w:rPr>
        <w:t xml:space="preserve">3.1. Стоимость нежилого помещения по настоящему Договору составляет </w:t>
      </w:r>
      <w:r>
        <w:rPr>
          <w:rFonts w:ascii="Times New Roman" w:hAnsi="Times New Roman"/>
          <w:b/>
          <w:color w:val="auto"/>
          <w:sz w:val="20"/>
          <w:szCs w:val="20"/>
        </w:rPr>
        <w:t xml:space="preserve">___________,00 (_____________________________) рублей 00 копеек в том числе НДС 20% </w:t>
      </w:r>
      <w:r>
        <w:rPr>
          <w:rFonts w:ascii="Times New Roman" w:hAnsi="Times New Roman"/>
          <w:color w:val="auto"/>
          <w:sz w:val="20"/>
          <w:szCs w:val="20"/>
        </w:rPr>
        <w:t xml:space="preserve">исходя из расчёта стоимости одного квадратного метра, которая составляет __________,00 (_____________ тысяч) рублей 00 копеек и общей площади нежилого помещения, указанной в 2.2. настоящего Договора. </w:t>
      </w:r>
    </w:p>
    <w:p>
      <w:pPr>
        <w:pStyle w:val="Normal"/>
        <w:spacing w:before="0" w:after="0"/>
        <w:jc w:val="both"/>
        <w:rPr/>
      </w:pPr>
      <w:r>
        <w:rPr>
          <w:rFonts w:ascii="Times New Roman" w:hAnsi="Times New Roman"/>
          <w:color w:val="auto"/>
          <w:sz w:val="20"/>
          <w:szCs w:val="20"/>
        </w:rPr>
        <w:t xml:space="preserve">3.2. В сумму, указанную в </w:t>
      </w:r>
      <w:hyperlink w:anchor="p32">
        <w:r>
          <w:rPr>
            <w:rFonts w:ascii="Times New Roman" w:hAnsi="Times New Roman"/>
            <w:color w:val="auto"/>
            <w:sz w:val="20"/>
            <w:szCs w:val="20"/>
          </w:rPr>
          <w:t>п. 3.1</w:t>
        </w:r>
      </w:hyperlink>
      <w:r>
        <w:rPr>
          <w:rFonts w:ascii="Times New Roman" w:hAnsi="Times New Roman"/>
          <w:color w:val="auto"/>
          <w:sz w:val="20"/>
          <w:szCs w:val="20"/>
        </w:rPr>
        <w:t xml:space="preserve"> настоящего Договора, включены  стоимость строительства Объекта,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проектно-сметной и разрешительной документацией.</w:t>
      </w:r>
    </w:p>
    <w:p>
      <w:pPr>
        <w:pStyle w:val="Normal"/>
        <w:spacing w:before="0" w:after="0"/>
        <w:jc w:val="both"/>
        <w:rPr>
          <w:color w:val="auto"/>
          <w:sz w:val="20"/>
          <w:szCs w:val="20"/>
        </w:rPr>
      </w:pPr>
      <w:r>
        <w:rPr>
          <w:rFonts w:ascii="Times New Roman" w:hAnsi="Times New Roman"/>
          <w:color w:val="auto" w:themeShade="bf"/>
          <w:sz w:val="20"/>
          <w:szCs w:val="20"/>
        </w:rPr>
        <w:t>3.3. Оплата Цены настоящего Договора, указанной в п. 3.1. настоящего Договора, осуществляется Участником как за счет собственных средств, так и за счет кредитных средств, предоставленных РНКБ Банк (ПАО) исключительно путем внесения денежных средств на открытый у Эскроу-агента счет эскроу в полном объеме в следующем порядке:</w:t>
      </w:r>
    </w:p>
    <w:p>
      <w:pPr>
        <w:pStyle w:val="Normal"/>
        <w:spacing w:before="0" w:after="0"/>
        <w:ind w:left="1134" w:hanging="708"/>
        <w:jc w:val="both"/>
        <w:rPr>
          <w:color w:val="auto"/>
          <w:sz w:val="20"/>
          <w:szCs w:val="20"/>
        </w:rPr>
      </w:pPr>
      <w:r>
        <w:rPr>
          <w:rFonts w:ascii="Times New Roman" w:hAnsi="Times New Roman"/>
          <w:color w:val="auto" w:themeShade="bf"/>
          <w:sz w:val="20"/>
          <w:szCs w:val="20"/>
        </w:rPr>
        <w:t>3.3.1. ____________,00 (_______________________________) руб. 00 коп -  за счет собственных средств;</w:t>
      </w:r>
    </w:p>
    <w:p>
      <w:pPr>
        <w:pStyle w:val="Normal"/>
        <w:spacing w:before="0" w:after="0"/>
        <w:ind w:left="1134" w:hanging="708"/>
        <w:jc w:val="both"/>
        <w:rPr>
          <w:color w:val="auto"/>
          <w:sz w:val="20"/>
          <w:szCs w:val="20"/>
        </w:rPr>
      </w:pPr>
      <w:r>
        <w:rPr>
          <w:rFonts w:ascii="Times New Roman" w:hAnsi="Times New Roman"/>
          <w:color w:val="auto" w:themeShade="bf"/>
          <w:sz w:val="20"/>
          <w:szCs w:val="20"/>
        </w:rPr>
        <w:t xml:space="preserve">3.3.2. ____________,00 (_______________________________) руб. 00 коп - за счет кредитных средств, предоставленных РНКБ Банк (ПАО) по Кредитному договору №_______/____/__________, заключенному __. __. _______г. в г. ___________________ Участником с Эскроу-агентом. </w:t>
      </w:r>
    </w:p>
    <w:p>
      <w:pPr>
        <w:pStyle w:val="Normal"/>
        <w:spacing w:before="0" w:after="0"/>
        <w:jc w:val="both"/>
        <w:rPr>
          <w:color w:val="auto"/>
          <w:sz w:val="20"/>
          <w:szCs w:val="20"/>
        </w:rPr>
      </w:pPr>
      <w:r>
        <w:rPr>
          <w:rFonts w:ascii="Times New Roman" w:hAnsi="Times New Roman"/>
          <w:color w:val="auto" w:themeShade="bf"/>
          <w:sz w:val="20"/>
          <w:szCs w:val="20"/>
        </w:rPr>
        <w:t xml:space="preserve">Право требования по настоящему Договору передается Участником в залог РНКБ Банк (ПАО) в силу закона согласно п. 5 ст. 5 ст. 77 Федерального закона №102-ФЗ «Об ипотеке (залоге недвижимости)» - в обеспечение исполнения обязательств Участником по Кредитному Договору №_______/____/__________, заключенному __. __._______г. </w:t>
      </w:r>
    </w:p>
    <w:p>
      <w:pPr>
        <w:pStyle w:val="Normal"/>
        <w:spacing w:before="0" w:after="0"/>
        <w:jc w:val="both"/>
        <w:rPr>
          <w:color w:val="auto"/>
          <w:sz w:val="20"/>
          <w:szCs w:val="20"/>
        </w:rPr>
      </w:pPr>
      <w:r>
        <w:rPr>
          <w:rFonts w:ascii="Times New Roman" w:hAnsi="Times New Roman"/>
          <w:color w:val="auto" w:themeShade="bf"/>
          <w:sz w:val="20"/>
          <w:szCs w:val="20"/>
        </w:rPr>
        <w:t>Залогодержателем по данному залогу является РНКБ Банк (ПАО).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pPr>
        <w:pStyle w:val="Normal"/>
        <w:spacing w:lineRule="atLeast" w:line="240" w:before="0" w:after="0"/>
        <w:jc w:val="both"/>
        <w:rPr>
          <w:color w:val="auto"/>
          <w:sz w:val="20"/>
          <w:szCs w:val="20"/>
        </w:rPr>
      </w:pPr>
      <w:r>
        <w:rPr>
          <w:rFonts w:ascii="Times New Roman" w:hAnsi="Times New Roman"/>
          <w:color w:val="auto" w:themeShade="bf"/>
          <w:sz w:val="20"/>
          <w:szCs w:val="20"/>
        </w:rPr>
        <w:t xml:space="preserve">3.4. Участник (Депонент) обязуется внести денежные средства (депонируемую сумму) согласно п. 3.1. настоящего Договора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pPr>
        <w:pStyle w:val="ListParagraph"/>
        <w:numPr>
          <w:ilvl w:val="2"/>
          <w:numId w:val="2"/>
        </w:numPr>
        <w:spacing w:lineRule="atLeast" w:line="240" w:before="0" w:after="0"/>
        <w:contextualSpacing/>
        <w:jc w:val="both"/>
        <w:rPr>
          <w:color w:val="auto"/>
          <w:sz w:val="20"/>
          <w:szCs w:val="20"/>
        </w:rPr>
      </w:pPr>
      <w:r>
        <w:rPr>
          <w:rFonts w:ascii="Times New Roman" w:hAnsi="Times New Roman"/>
          <w:color w:val="auto" w:themeShade="bf"/>
          <w:sz w:val="20"/>
          <w:szCs w:val="20"/>
        </w:rPr>
        <w:t xml:space="preserve">Эскроу-агент/Акцептант: 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 </w:t>
      </w:r>
    </w:p>
    <w:p>
      <w:pPr>
        <w:pStyle w:val="ListParagraph"/>
        <w:numPr>
          <w:ilvl w:val="2"/>
          <w:numId w:val="2"/>
        </w:numPr>
        <w:spacing w:lineRule="atLeast" w:line="240" w:before="0" w:after="0"/>
        <w:contextualSpacing/>
        <w:jc w:val="both"/>
        <w:rPr>
          <w:color w:val="auto"/>
          <w:sz w:val="20"/>
          <w:szCs w:val="20"/>
        </w:rPr>
      </w:pPr>
      <w:r>
        <w:rPr>
          <w:rFonts w:ascii="Times New Roman" w:hAnsi="Times New Roman"/>
          <w:color w:val="auto" w:themeShade="bf"/>
          <w:sz w:val="20"/>
          <w:szCs w:val="20"/>
        </w:rPr>
        <w:t xml:space="preserve">Участник/Депонент: _________________ (Ф.И.О./наименование Депонента) </w:t>
      </w:r>
    </w:p>
    <w:p>
      <w:pPr>
        <w:pStyle w:val="ListParagraph"/>
        <w:numPr>
          <w:ilvl w:val="2"/>
          <w:numId w:val="2"/>
        </w:numPr>
        <w:spacing w:lineRule="atLeast" w:line="240" w:before="0" w:after="0"/>
        <w:contextualSpacing/>
        <w:jc w:val="both"/>
        <w:rPr>
          <w:color w:val="auto"/>
          <w:sz w:val="20"/>
          <w:szCs w:val="20"/>
        </w:rPr>
      </w:pPr>
      <w:r>
        <w:rPr>
          <w:rFonts w:ascii="Times New Roman" w:hAnsi="Times New Roman"/>
          <w:color w:val="auto" w:themeShade="bf"/>
          <w:sz w:val="20"/>
          <w:szCs w:val="20"/>
        </w:rPr>
        <w:t>Застройщик/Бенефициар</w:t>
      </w:r>
      <w:r>
        <w:rPr>
          <w:rFonts w:ascii="Times New Roman" w:hAnsi="Times New Roman"/>
          <w:color w:val="auto"/>
          <w:sz w:val="20"/>
          <w:szCs w:val="20"/>
        </w:rPr>
        <w:t xml:space="preserve">: </w:t>
      </w:r>
      <w:r>
        <w:rPr>
          <w:rFonts w:ascii="Times New Roman" w:hAnsi="Times New Roman"/>
          <w:color w:val="auto" w:themeShade="bf"/>
          <w:sz w:val="20"/>
          <w:szCs w:val="20"/>
        </w:rPr>
        <w:t xml:space="preserve">Общество с ограниченной ответственностью «Специализированный застройщик  "ГРИН СИТИ", ИНН 9102055037 </w:t>
      </w:r>
      <w:r>
        <w:rPr>
          <w:rFonts w:ascii="Times New Roman" w:hAnsi="Times New Roman"/>
          <w:color w:val="auto"/>
          <w:sz w:val="20"/>
          <w:szCs w:val="20"/>
        </w:rPr>
        <w:t>________________ (</w:t>
      </w:r>
      <w:r>
        <w:rPr>
          <w:rFonts w:ascii="Times New Roman" w:hAnsi="Times New Roman"/>
          <w:color w:val="auto" w:themeShade="bf"/>
          <w:sz w:val="20"/>
          <w:szCs w:val="20"/>
        </w:rPr>
        <w:t>наименование Бенефициара</w:t>
      </w:r>
      <w:r>
        <w:rPr>
          <w:rFonts w:ascii="Times New Roman" w:hAnsi="Times New Roman"/>
          <w:color w:val="auto"/>
          <w:sz w:val="20"/>
          <w:szCs w:val="20"/>
        </w:rPr>
        <w:t xml:space="preserve">, реквизиты счета для зачисления Депонируемой суммы) </w:t>
      </w:r>
    </w:p>
    <w:p>
      <w:pPr>
        <w:pStyle w:val="ListParagraph"/>
        <w:numPr>
          <w:ilvl w:val="2"/>
          <w:numId w:val="2"/>
        </w:numPr>
        <w:spacing w:lineRule="atLeast" w:line="240" w:before="0" w:after="0"/>
        <w:contextualSpacing/>
        <w:jc w:val="both"/>
        <w:rPr>
          <w:color w:val="auto"/>
          <w:sz w:val="20"/>
          <w:szCs w:val="20"/>
        </w:rPr>
      </w:pPr>
      <w:r>
        <w:rPr>
          <w:rFonts w:ascii="Times New Roman" w:hAnsi="Times New Roman"/>
          <w:color w:val="auto" w:themeShade="bf"/>
          <w:sz w:val="20"/>
          <w:szCs w:val="20"/>
        </w:rPr>
        <w:t xml:space="preserve">Депонируемая сумма:       ___________ (_______________) рублей___ копеек </w:t>
      </w:r>
    </w:p>
    <w:p>
      <w:pPr>
        <w:pStyle w:val="NoSpacing"/>
        <w:jc w:val="both"/>
        <w:rPr>
          <w:color w:val="auto"/>
          <w:sz w:val="20"/>
          <w:szCs w:val="20"/>
        </w:rPr>
      </w:pPr>
      <w:r>
        <w:rPr>
          <w:rFonts w:ascii="Times New Roman" w:hAnsi="Times New Roman"/>
          <w:color w:val="auto"/>
          <w:sz w:val="20"/>
          <w:szCs w:val="20"/>
        </w:rPr>
        <w:t>3.5.  Обязанность Участника долевого строительства по уплате обусловленной Договором цены считается исполненной с момента поступления денежных средств в полном объеме на специальный счет эскроу, открытый у Эскроу-агента.</w:t>
      </w:r>
    </w:p>
    <w:p>
      <w:pPr>
        <w:pStyle w:val="Normal"/>
        <w:spacing w:lineRule="atLeast" w:line="240" w:before="0" w:after="0"/>
        <w:jc w:val="both"/>
        <w:rPr>
          <w:color w:val="auto"/>
          <w:sz w:val="20"/>
          <w:szCs w:val="20"/>
        </w:rPr>
      </w:pPr>
      <w:r>
        <w:rPr>
          <w:rFonts w:ascii="Times New Roman" w:hAnsi="Times New Roman"/>
          <w:color w:val="auto"/>
          <w:sz w:val="20"/>
          <w:szCs w:val="20"/>
        </w:rPr>
        <w:t>3.6.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pPr>
        <w:pStyle w:val="Normal"/>
        <w:spacing w:lineRule="atLeast" w:line="240" w:before="0" w:after="0"/>
        <w:jc w:val="both"/>
        <w:rPr>
          <w:color w:val="auto"/>
          <w:sz w:val="20"/>
          <w:szCs w:val="20"/>
        </w:rPr>
      </w:pPr>
      <w:r>
        <w:rPr>
          <w:rFonts w:ascii="Times New Roman" w:hAnsi="Times New Roman"/>
          <w:color w:val="auto" w:themeShade="bf"/>
          <w:sz w:val="20"/>
          <w:szCs w:val="20"/>
        </w:rPr>
        <w:t>3.7. Срок условного депонирования денежных средств:</w:t>
      </w:r>
      <w:r>
        <w:rPr>
          <w:color w:val="auto" w:themeShade="bf"/>
          <w:sz w:val="20"/>
          <w:szCs w:val="20"/>
        </w:rPr>
        <w:t xml:space="preserve"> </w:t>
      </w:r>
      <w:r>
        <w:rPr>
          <w:rFonts w:ascii="Times New Roman" w:hAnsi="Times New Roman"/>
          <w:color w:val="auto" w:themeShade="bf"/>
          <w:sz w:val="20"/>
          <w:szCs w:val="20"/>
        </w:rPr>
        <w:t>"</w:t>
      </w:r>
      <w:r>
        <w:rPr>
          <w:rFonts w:eastAsia="Times New Roman" w:cs="Times New Roman" w:ascii="Times New Roman" w:hAnsi="Times New Roman"/>
          <w:color w:val="auto" w:themeShade="bf"/>
          <w:sz w:val="20"/>
          <w:szCs w:val="20"/>
          <w:lang w:eastAsia="ru-RU"/>
        </w:rPr>
        <w:t>31</w:t>
      </w:r>
      <w:r>
        <w:rPr>
          <w:rFonts w:ascii="Times New Roman" w:hAnsi="Times New Roman"/>
          <w:color w:val="auto" w:themeShade="bf"/>
          <w:sz w:val="20"/>
          <w:szCs w:val="20"/>
        </w:rPr>
        <w:t xml:space="preserve">" </w:t>
      </w:r>
      <w:r>
        <w:rPr>
          <w:rFonts w:eastAsia="Times New Roman" w:cs="Times New Roman" w:ascii="Times New Roman" w:hAnsi="Times New Roman"/>
          <w:color w:val="auto" w:themeShade="bf"/>
          <w:sz w:val="20"/>
          <w:szCs w:val="20"/>
          <w:lang w:eastAsia="ru-RU"/>
        </w:rPr>
        <w:t>августа</w:t>
      </w:r>
      <w:r>
        <w:rPr>
          <w:rFonts w:ascii="Times New Roman" w:hAnsi="Times New Roman"/>
          <w:color w:val="auto" w:themeShade="bf"/>
          <w:sz w:val="20"/>
          <w:szCs w:val="20"/>
        </w:rPr>
        <w:t xml:space="preserve"> 202</w:t>
      </w:r>
      <w:r>
        <w:rPr>
          <w:rFonts w:eastAsia="Times New Roman" w:cs="Times New Roman" w:ascii="Times New Roman" w:hAnsi="Times New Roman"/>
          <w:color w:val="auto" w:themeShade="bf"/>
          <w:sz w:val="20"/>
          <w:szCs w:val="20"/>
          <w:lang w:eastAsia="ru-RU"/>
        </w:rPr>
        <w:t>6</w:t>
      </w:r>
      <w:r>
        <w:rPr>
          <w:rFonts w:ascii="Times New Roman" w:hAnsi="Times New Roman"/>
          <w:color w:val="auto" w:themeShade="bf"/>
          <w:sz w:val="20"/>
          <w:szCs w:val="20"/>
        </w:rPr>
        <w:t xml:space="preserve"> года.</w:t>
      </w:r>
    </w:p>
    <w:p>
      <w:pPr>
        <w:pStyle w:val="ConsPlusTitle"/>
        <w:spacing w:before="0" w:after="0"/>
        <w:contextualSpacing/>
        <w:jc w:val="both"/>
        <w:rPr>
          <w:color w:val="auto"/>
          <w:sz w:val="20"/>
          <w:szCs w:val="20"/>
        </w:rPr>
      </w:pPr>
      <w:r>
        <w:rPr>
          <w:rFonts w:ascii="Times New Roman" w:hAnsi="Times New Roman"/>
          <w:b w:val="false"/>
          <w:color w:val="auto"/>
          <w:sz w:val="20"/>
          <w:szCs w:val="20"/>
        </w:rPr>
        <w:t xml:space="preserve">3.8. Депонируемая сумма не позднее 10 (Десяти) рабочих дней после предоставления Застройщиком Эскроу-агенту разрешения на ввод в эксплуатацию нежилого здания – апарт-отеля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р/с </w:t>
      </w:r>
      <w:r>
        <w:rPr>
          <w:rFonts w:cs="Times New Roman" w:ascii="Times New Roman" w:hAnsi="Times New Roman"/>
          <w:b w:val="false"/>
          <w:bCs w:val="false"/>
          <w:color w:val="auto"/>
          <w:sz w:val="20"/>
          <w:szCs w:val="20"/>
        </w:rPr>
        <w:t>______________</w:t>
      </w:r>
      <w:r>
        <w:rPr>
          <w:rFonts w:ascii="Times New Roman" w:hAnsi="Times New Roman"/>
          <w:color w:val="auto"/>
          <w:sz w:val="20"/>
          <w:szCs w:val="20"/>
        </w:rPr>
        <w:t>, открытый в _________________________________________________, являющийся залоговым счетом Застройщика, права по которому переданы в залог Эскроу-агенту, предоставившему денежные средства Застройщику.</w:t>
      </w:r>
    </w:p>
    <w:p>
      <w:pPr>
        <w:pStyle w:val="Normal"/>
        <w:spacing w:lineRule="atLeast" w:line="240" w:before="0" w:after="0"/>
        <w:jc w:val="both"/>
        <w:rPr/>
      </w:pPr>
      <w:r>
        <w:rPr>
          <w:rFonts w:ascii="Times New Roman" w:hAnsi="Times New Roman"/>
          <w:color w:val="auto"/>
          <w:sz w:val="20"/>
          <w:szCs w:val="20"/>
        </w:rPr>
        <w:t xml:space="preserve">3.9. Если в отношении уполномоченного банка, в котором открыт счет эскроу, наступил страховой случай в соответствии с Федеральным </w:t>
      </w:r>
      <w:hyperlink r:id="rId5">
        <w:r>
          <w:rPr>
            <w:rFonts w:ascii="Times New Roman" w:hAnsi="Times New Roman"/>
            <w:color w:val="auto"/>
            <w:sz w:val="20"/>
            <w:szCs w:val="20"/>
          </w:rPr>
          <w:t>законом</w:t>
        </w:r>
      </w:hyperlink>
      <w:r>
        <w:rPr>
          <w:rFonts w:ascii="Times New Roman" w:hAnsi="Times New Roman"/>
          <w:color w:val="auto"/>
          <w:sz w:val="20"/>
          <w:szCs w:val="20"/>
        </w:rPr>
        <w:t xml:space="preserve"> от 23.12.2003 N 177-ФЗ "О страховании вкладов физических лиц в банках Российской Федерации" до ввода в нежилого здания-апарт-отеля и государственной регистрации права собственности в отношении объекта (объектов) долевого строительства, входящего в состав объекта недвижимости, Застройщик и Участник долевого строительства обязаны заключить договор счета эскроу с другим уполномоченным банком.</w:t>
      </w:r>
    </w:p>
    <w:p>
      <w:pPr>
        <w:pStyle w:val="ConsPlusNormal"/>
        <w:spacing w:lineRule="atLeast" w:line="240"/>
        <w:jc w:val="both"/>
        <w:rPr/>
      </w:pPr>
      <w:r>
        <w:rPr>
          <w:color w:val="auto"/>
          <w:sz w:val="20"/>
          <w:szCs w:val="20"/>
        </w:rPr>
        <w:t>3.10. Цена Договора является окончательной и увеличению не подлежит, кроме случаев, предусмотренных п.</w:t>
      </w:r>
      <w:hyperlink w:anchor="Par86" w:tgtFrame="4.4. По соглашению Сторон цена Договора может быть изменена в следующих случаях:">
        <w:r>
          <w:rPr>
            <w:color w:val="auto"/>
            <w:sz w:val="20"/>
            <w:szCs w:val="20"/>
          </w:rPr>
          <w:t>3.9.</w:t>
        </w:r>
      </w:hyperlink>
      <w:r>
        <w:rPr>
          <w:color w:val="auto"/>
          <w:sz w:val="20"/>
          <w:szCs w:val="20"/>
        </w:rPr>
        <w:t xml:space="preserve">  настоящего Договора. При недостатке уплаченных Участником долевого строительства денежных средств все расходы сверх цены Договора Застройщик несет самостоятельно.</w:t>
      </w:r>
    </w:p>
    <w:p>
      <w:pPr>
        <w:pStyle w:val="ConsPlusNormal"/>
        <w:spacing w:lineRule="atLeast" w:line="240"/>
        <w:jc w:val="both"/>
        <w:rPr>
          <w:color w:val="auto"/>
          <w:sz w:val="20"/>
          <w:szCs w:val="20"/>
        </w:rPr>
      </w:pPr>
      <w:bookmarkStart w:id="4" w:name="Par86"/>
      <w:bookmarkEnd w:id="4"/>
      <w:r>
        <w:rPr>
          <w:color w:val="auto"/>
          <w:sz w:val="20"/>
          <w:szCs w:val="20"/>
        </w:rPr>
        <w:t>3.11. По соглашению Сторон цена Договора может быть изменена в следующих случаях:</w:t>
      </w:r>
    </w:p>
    <w:p>
      <w:pPr>
        <w:pStyle w:val="ConsPlusNormal"/>
        <w:spacing w:lineRule="atLeast" w:line="240"/>
        <w:ind w:firstLine="540"/>
        <w:jc w:val="both"/>
        <w:rPr>
          <w:color w:val="auto"/>
          <w:sz w:val="20"/>
          <w:szCs w:val="20"/>
        </w:rPr>
      </w:pPr>
      <w:r>
        <w:rPr>
          <w:color w:val="auto"/>
          <w:sz w:val="20"/>
          <w:szCs w:val="20"/>
        </w:rPr>
        <w:t>- увеличения стоимости строительных материалов более чем на 10%;</w:t>
      </w:r>
    </w:p>
    <w:p>
      <w:pPr>
        <w:pStyle w:val="ConsPlusNormal"/>
        <w:spacing w:lineRule="atLeast" w:line="240"/>
        <w:ind w:firstLine="540"/>
        <w:jc w:val="both"/>
        <w:rPr>
          <w:color w:val="auto"/>
          <w:sz w:val="20"/>
          <w:szCs w:val="20"/>
        </w:rPr>
      </w:pPr>
      <w:r>
        <w:rPr>
          <w:color w:val="auto"/>
          <w:sz w:val="20"/>
          <w:szCs w:val="20"/>
        </w:rPr>
        <w:t>- увеличения стоимости энергоносителей более чем на 10%;</w:t>
      </w:r>
    </w:p>
    <w:p>
      <w:pPr>
        <w:pStyle w:val="ConsPlusNormal"/>
        <w:spacing w:lineRule="atLeast" w:line="240"/>
        <w:ind w:firstLine="540"/>
        <w:jc w:val="both"/>
        <w:rPr>
          <w:color w:val="auto"/>
          <w:sz w:val="20"/>
          <w:szCs w:val="20"/>
        </w:rPr>
      </w:pPr>
      <w:r>
        <w:rPr>
          <w:color w:val="auto"/>
          <w:sz w:val="20"/>
          <w:szCs w:val="20"/>
        </w:rPr>
        <w:t>- внесения изменений и дополнений в проектную документацию в соответствии с изменениями действующего законодательства Российской Федерации;</w:t>
      </w:r>
    </w:p>
    <w:p>
      <w:pPr>
        <w:pStyle w:val="ConsPlusNormal"/>
        <w:spacing w:lineRule="atLeast" w:line="240"/>
        <w:ind w:firstLine="540"/>
        <w:jc w:val="both"/>
        <w:rPr>
          <w:color w:val="auto"/>
          <w:sz w:val="20"/>
          <w:szCs w:val="20"/>
        </w:rPr>
      </w:pPr>
      <w:r>
        <w:rPr>
          <w:color w:val="auto"/>
          <w:sz w:val="20"/>
          <w:szCs w:val="20"/>
        </w:rPr>
        <w:t>- корректировки площади Объекта долевого строительства более чем на 1 кв. м;</w:t>
      </w:r>
    </w:p>
    <w:p>
      <w:pPr>
        <w:pStyle w:val="ConsPlusNormal"/>
        <w:spacing w:lineRule="atLeast" w:line="240"/>
        <w:ind w:firstLine="540"/>
        <w:jc w:val="both"/>
        <w:rPr>
          <w:color w:val="auto"/>
          <w:sz w:val="20"/>
          <w:szCs w:val="20"/>
        </w:rPr>
      </w:pPr>
      <w:r>
        <w:rPr>
          <w:color w:val="auto"/>
          <w:sz w:val="20"/>
          <w:szCs w:val="20"/>
        </w:rPr>
        <w:t>- внесения изменений в состав Объекта долевого строительства по согласию Сторон.</w:t>
      </w:r>
    </w:p>
    <w:p>
      <w:pPr>
        <w:pStyle w:val="1"/>
        <w:ind w:left="16" w:hanging="0"/>
        <w:jc w:val="both"/>
        <w:rPr>
          <w:color w:val="auto"/>
          <w:sz w:val="20"/>
          <w:szCs w:val="20"/>
        </w:rPr>
      </w:pPr>
      <w:r>
        <w:rPr>
          <w:rFonts w:cs="Times New Roman"/>
          <w:color w:val="auto"/>
          <w:sz w:val="20"/>
          <w:szCs w:val="20"/>
        </w:rPr>
        <w:t xml:space="preserve">3.12. В случае увеличения общей площади жилого помещения Объекта долевого строительства более чем на 1 кв. м. и (или) общего объема Объекта долевого строительства более чем на 1 куб. м в результате технических обмеров помещения по вводу Объекта в эксплуатацию Участник долевого строительства обязуется уплатить Застройщику разницу, рассчитанную в соответствии с п. 3.1 настоящего Договора. </w:t>
      </w:r>
    </w:p>
    <w:p>
      <w:pPr>
        <w:pStyle w:val="1"/>
        <w:ind w:left="8" w:hanging="0"/>
        <w:jc w:val="both"/>
        <w:rPr>
          <w:color w:val="auto"/>
          <w:sz w:val="20"/>
          <w:szCs w:val="20"/>
        </w:rPr>
      </w:pPr>
      <w:r>
        <w:rPr>
          <w:rFonts w:cs="Times New Roman"/>
          <w:color w:val="auto"/>
          <w:sz w:val="20"/>
          <w:szCs w:val="20"/>
        </w:rPr>
        <w:t>3.13. В случае уменьшения общей площади жилого и летнего помещения Объекта долевого строительства более чем на 1 кв. м. и (или) общего объема Объекта долевого строительства более чем на 1 куб. м в результате технических обмеров помещения по вводу Объекта в эксплуатацию Застройщик обязуется вернуть Участнику долевого строительства разницу, рассчитанную в соответствии с п. 3.1 настоящего Договора.</w:t>
      </w:r>
    </w:p>
    <w:p>
      <w:pPr>
        <w:pStyle w:val="1"/>
        <w:ind w:left="8" w:hanging="0"/>
        <w:jc w:val="both"/>
        <w:rPr>
          <w:color w:val="auto"/>
          <w:sz w:val="20"/>
          <w:szCs w:val="20"/>
        </w:rPr>
      </w:pPr>
      <w:r>
        <w:rPr>
          <w:rFonts w:cs="Times New Roman"/>
          <w:color w:val="auto"/>
          <w:sz w:val="20"/>
          <w:szCs w:val="20"/>
        </w:rPr>
        <w:t>3.14. Все расходы по государственной регистрации права собственности на передаваемое по настоящему Договору помещение оплачиваются Участником долевого строительства самостоятельно и в цену настоящего Договора не включены.</w:t>
      </w:r>
    </w:p>
    <w:p>
      <w:pPr>
        <w:pStyle w:val="ConsPlusNormal"/>
        <w:ind w:firstLine="540"/>
        <w:jc w:val="both"/>
        <w:rPr>
          <w:color w:val="auto"/>
          <w:sz w:val="20"/>
          <w:szCs w:val="20"/>
        </w:rPr>
      </w:pPr>
      <w:r>
        <w:rPr>
          <w:color w:val="auto"/>
          <w:sz w:val="20"/>
          <w:szCs w:val="20"/>
        </w:rPr>
      </w:r>
    </w:p>
    <w:p>
      <w:pPr>
        <w:pStyle w:val="ConsPlusNormal"/>
        <w:numPr>
          <w:ilvl w:val="0"/>
          <w:numId w:val="0"/>
        </w:numPr>
        <w:ind w:left="0" w:hanging="0"/>
        <w:jc w:val="center"/>
        <w:outlineLvl w:val="0"/>
        <w:rPr>
          <w:color w:val="auto"/>
          <w:sz w:val="20"/>
          <w:szCs w:val="20"/>
        </w:rPr>
      </w:pPr>
      <w:r>
        <w:rPr>
          <w:b/>
          <w:color w:val="auto"/>
          <w:sz w:val="20"/>
          <w:szCs w:val="20"/>
        </w:rPr>
        <w:t>4. ГАРАНТИИ УЧАСТНИКА ДОЛЕВОГО СТРОИТЕЛЬСТВА</w:t>
      </w:r>
    </w:p>
    <w:p>
      <w:pPr>
        <w:pStyle w:val="ConsPlusNormal"/>
        <w:jc w:val="both"/>
        <w:rPr>
          <w:color w:val="auto"/>
          <w:sz w:val="20"/>
          <w:szCs w:val="20"/>
        </w:rPr>
      </w:pPr>
      <w:r>
        <w:rPr>
          <w:color w:val="auto"/>
          <w:sz w:val="20"/>
          <w:szCs w:val="20"/>
        </w:rPr>
        <w:t>4.1. Срок ввода Объекта в эксплуатацию не позднее «28» февраля 2026 года.</w:t>
      </w:r>
    </w:p>
    <w:p>
      <w:pPr>
        <w:pStyle w:val="ConsPlusNormal"/>
        <w:jc w:val="both"/>
        <w:rPr>
          <w:color w:val="auto"/>
          <w:sz w:val="20"/>
          <w:szCs w:val="20"/>
        </w:rPr>
      </w:pPr>
      <w:r>
        <w:rPr>
          <w:color w:val="auto"/>
          <w:sz w:val="20"/>
          <w:szCs w:val="20"/>
        </w:rPr>
        <w:t xml:space="preserve">4.2.Нежилые помещения будут переданы Участнику долевого строительства не позднее "31" </w:t>
      </w:r>
      <w:r>
        <w:rPr>
          <w:rFonts w:eastAsia="Times New Roman" w:cs="Times New Roman"/>
          <w:color w:val="auto"/>
          <w:kern w:val="0"/>
          <w:sz w:val="20"/>
          <w:szCs w:val="20"/>
          <w:lang w:val="ru-RU" w:eastAsia="ru-RU" w:bidi="ar-SA"/>
        </w:rPr>
        <w:t>августа</w:t>
      </w:r>
      <w:r>
        <w:rPr>
          <w:color w:val="auto"/>
          <w:sz w:val="20"/>
          <w:szCs w:val="20"/>
        </w:rPr>
        <w:t xml:space="preserve"> 2026 года.</w:t>
      </w:r>
    </w:p>
    <w:p>
      <w:pPr>
        <w:pStyle w:val="ConsPlusNormal"/>
        <w:numPr>
          <w:ilvl w:val="0"/>
          <w:numId w:val="0"/>
        </w:numPr>
        <w:ind w:left="0" w:hanging="0"/>
        <w:jc w:val="center"/>
        <w:outlineLvl w:val="0"/>
        <w:rPr>
          <w:color w:val="auto"/>
          <w:sz w:val="20"/>
          <w:szCs w:val="20"/>
        </w:rPr>
      </w:pPr>
      <w:r>
        <w:rPr>
          <w:b/>
          <w:color w:val="auto"/>
          <w:sz w:val="20"/>
          <w:szCs w:val="20"/>
        </w:rPr>
        <w:t>5. ПРАВА И ОБЯЗАННОСТИ СТОРОН</w:t>
      </w:r>
    </w:p>
    <w:p>
      <w:pPr>
        <w:pStyle w:val="ConsPlusNormal"/>
        <w:jc w:val="both"/>
        <w:rPr>
          <w:color w:val="auto"/>
          <w:sz w:val="20"/>
          <w:szCs w:val="20"/>
        </w:rPr>
      </w:pPr>
      <w:r>
        <w:rPr>
          <w:b/>
          <w:color w:val="auto"/>
          <w:sz w:val="20"/>
          <w:szCs w:val="20"/>
        </w:rPr>
        <w:t>5.1. Застройщик принимает на себя следующие обязательства:</w:t>
      </w:r>
    </w:p>
    <w:p>
      <w:pPr>
        <w:pStyle w:val="1"/>
        <w:jc w:val="both"/>
        <w:rPr>
          <w:color w:val="auto"/>
          <w:sz w:val="20"/>
          <w:szCs w:val="20"/>
        </w:rPr>
      </w:pPr>
      <w:r>
        <w:rPr>
          <w:rFonts w:cs="Times New Roman"/>
          <w:color w:val="auto"/>
          <w:sz w:val="20"/>
          <w:szCs w:val="20"/>
        </w:rPr>
        <w:t>5.1.1.Зарегистрировать настоящий Договор в установленном законом порядке.</w:t>
      </w:r>
    </w:p>
    <w:p>
      <w:pPr>
        <w:pStyle w:val="ConsPlusNormal"/>
        <w:jc w:val="both"/>
        <w:rPr>
          <w:color w:val="auto"/>
          <w:sz w:val="20"/>
          <w:szCs w:val="20"/>
        </w:rPr>
      </w:pPr>
      <w:r>
        <w:rPr>
          <w:color w:val="auto"/>
          <w:sz w:val="20"/>
          <w:szCs w:val="20"/>
        </w:rPr>
        <w:t>5.1.2. Обеспечить возведение Объекта в точном соответствии с проектной документацией и в установленные графиком строительства и настоящим Договором сроки и выполнение с привлечением подрядчиков всех работ по строительству Объекта и по благоустройству прилегающей территории в полном объеме, включая все работы, предусмотренные документами по строительству, а также иные работы, не упомянутые в этих документах, но необходимые для сооружения Объекта и для его ввода в установленном законодательством порядке в эксплуатацию.</w:t>
      </w:r>
    </w:p>
    <w:p>
      <w:pPr>
        <w:pStyle w:val="ConsPlusNormal"/>
        <w:jc w:val="both"/>
        <w:rPr>
          <w:color w:val="auto"/>
          <w:sz w:val="20"/>
          <w:szCs w:val="20"/>
        </w:rPr>
      </w:pPr>
      <w:r>
        <w:rPr>
          <w:color w:val="auto"/>
          <w:sz w:val="20"/>
          <w:szCs w:val="20"/>
        </w:rPr>
        <w:t>5.1.3. Контролировать ход работ по строительству Объекта.</w:t>
      </w:r>
    </w:p>
    <w:p>
      <w:pPr>
        <w:pStyle w:val="ConsPlusNormal"/>
        <w:jc w:val="both"/>
        <w:rPr>
          <w:color w:val="auto"/>
          <w:sz w:val="20"/>
          <w:szCs w:val="20"/>
        </w:rPr>
      </w:pPr>
      <w:r>
        <w:rPr>
          <w:color w:val="auto"/>
          <w:sz w:val="20"/>
          <w:szCs w:val="20"/>
        </w:rPr>
        <w:t>5.1.4. Обеспечить сдачу Объекта в эксплуатацию, оформление соответствующей документации и передачу Нежилых помещений Участнику долевого строительства в сроки указанные в разделе 4 настоящего Договора.</w:t>
      </w:r>
    </w:p>
    <w:p>
      <w:pPr>
        <w:pStyle w:val="ConsPlusNormal"/>
        <w:jc w:val="both"/>
        <w:rPr>
          <w:color w:val="auto"/>
          <w:sz w:val="20"/>
          <w:szCs w:val="20"/>
        </w:rPr>
      </w:pPr>
      <w:r>
        <w:rPr>
          <w:color w:val="auto"/>
          <w:sz w:val="20"/>
          <w:szCs w:val="20"/>
        </w:rPr>
        <w:t>5.1.5. Сообщать Участнику долевого строительства по его требованию о ходе выполнения работ по строительству Объекта.</w:t>
      </w:r>
    </w:p>
    <w:p>
      <w:pPr>
        <w:pStyle w:val="Normal"/>
        <w:spacing w:lineRule="auto" w:line="240" w:before="0" w:after="0"/>
        <w:jc w:val="both"/>
        <w:rPr>
          <w:color w:val="auto"/>
          <w:sz w:val="20"/>
          <w:szCs w:val="20"/>
        </w:rPr>
      </w:pPr>
      <w:r>
        <w:rPr>
          <w:rFonts w:ascii="Times New Roman" w:hAnsi="Times New Roman"/>
          <w:color w:val="auto"/>
          <w:sz w:val="20"/>
          <w:szCs w:val="20"/>
        </w:rPr>
        <w:t>5.1.6. Не менее чем за месяц до наступления установленного договором срока передачи объекта долевого строительства направить Участнику долевого строительства сообщение о завершении строительства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pPr>
        <w:pStyle w:val="ConsPlusNormal"/>
        <w:jc w:val="both"/>
        <w:rPr>
          <w:color w:val="auto"/>
          <w:sz w:val="20"/>
          <w:szCs w:val="20"/>
        </w:rPr>
      </w:pPr>
      <w:r>
        <w:rPr>
          <w:color w:val="auto"/>
          <w:sz w:val="20"/>
          <w:szCs w:val="20"/>
        </w:rPr>
        <w:t>5.1.7.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pPr>
        <w:pStyle w:val="1"/>
        <w:ind w:left="16" w:hanging="0"/>
        <w:jc w:val="both"/>
        <w:rPr>
          <w:color w:val="auto"/>
          <w:sz w:val="20"/>
          <w:szCs w:val="20"/>
        </w:rPr>
      </w:pPr>
      <w:r>
        <w:rPr>
          <w:rFonts w:cs="Times New Roman"/>
          <w:color w:val="auto"/>
          <w:sz w:val="20"/>
          <w:szCs w:val="20"/>
        </w:rPr>
        <w:t>5.1.8. 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Участникам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Участникам долевого строительства оформляется дополнительным соглашением.</w:t>
      </w:r>
    </w:p>
    <w:p>
      <w:pPr>
        <w:pStyle w:val="ConsPlusNormal"/>
        <w:jc w:val="both"/>
        <w:rPr>
          <w:color w:val="auto"/>
          <w:sz w:val="20"/>
          <w:szCs w:val="20"/>
        </w:rPr>
      </w:pPr>
      <w:r>
        <w:rPr>
          <w:b/>
          <w:color w:val="auto"/>
          <w:sz w:val="20"/>
          <w:szCs w:val="20"/>
        </w:rPr>
        <w:t>5.2. Застройщик вправе:</w:t>
      </w:r>
    </w:p>
    <w:p>
      <w:pPr>
        <w:pStyle w:val="ConsPlusNormal"/>
        <w:jc w:val="both"/>
        <w:rPr>
          <w:color w:val="auto"/>
          <w:sz w:val="20"/>
          <w:szCs w:val="20"/>
        </w:rPr>
      </w:pPr>
      <w:r>
        <w:rPr>
          <w:color w:val="auto"/>
          <w:sz w:val="20"/>
          <w:szCs w:val="20"/>
        </w:rPr>
        <w:t>5.2.1. Досрочно исполнить обязательства по передаче объекта долевого строительства.</w:t>
      </w:r>
    </w:p>
    <w:p>
      <w:pPr>
        <w:pStyle w:val="1"/>
        <w:tabs>
          <w:tab w:val="clear" w:pos="708"/>
          <w:tab w:val="right" w:pos="10003" w:leader="none"/>
        </w:tabs>
        <w:rPr>
          <w:color w:val="auto"/>
          <w:sz w:val="20"/>
          <w:szCs w:val="20"/>
        </w:rPr>
      </w:pPr>
      <w:r>
        <w:rPr>
          <w:rFonts w:cs="Times New Roman"/>
          <w:color w:val="auto"/>
          <w:sz w:val="20"/>
          <w:szCs w:val="20"/>
        </w:rPr>
        <w:t>5.2.3. Внести изменения и дополнения в проект Объекта долевого строительства.</w:t>
        <w:tab/>
      </w:r>
    </w:p>
    <w:p>
      <w:pPr>
        <w:pStyle w:val="1"/>
        <w:jc w:val="both"/>
        <w:rPr>
          <w:color w:val="auto"/>
          <w:sz w:val="20"/>
          <w:szCs w:val="20"/>
        </w:rPr>
      </w:pPr>
      <w:r>
        <w:rPr>
          <w:rFonts w:cs="Times New Roman"/>
          <w:color w:val="auto"/>
          <w:sz w:val="20"/>
          <w:szCs w:val="20"/>
        </w:rPr>
        <w:t>5.2.4.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не приемки или уклонения от его приемки Участником долевого строительства более 2 (двух) месяцев с момента получения уведомления Застройщика о готовности Объекта долевого строительства к передаче. При этом, Застройщик возвращает ранее полученные денежные средства Участнику долевого строительства за вычетом штрафа в размере 20% от Цены договора и сопутствующих расходов Застройщика после реализации Объекта долевого строительства.</w:t>
      </w:r>
    </w:p>
    <w:p>
      <w:pPr>
        <w:pStyle w:val="ConsPlusNormal"/>
        <w:spacing w:lineRule="atLeast" w:line="240"/>
        <w:jc w:val="both"/>
        <w:rPr>
          <w:color w:val="auto"/>
          <w:sz w:val="20"/>
          <w:szCs w:val="20"/>
        </w:rPr>
      </w:pPr>
      <w:r>
        <w:rPr>
          <w:b/>
          <w:color w:val="auto"/>
          <w:sz w:val="20"/>
          <w:szCs w:val="20"/>
        </w:rPr>
        <w:t>5.3. Участник долевого строительства принимает на себя следующие обязательства:</w:t>
      </w:r>
    </w:p>
    <w:p>
      <w:pPr>
        <w:pStyle w:val="ConsPlusNormal"/>
        <w:spacing w:lineRule="atLeast" w:line="240"/>
        <w:jc w:val="both"/>
        <w:rPr/>
      </w:pPr>
      <w:r>
        <w:rPr>
          <w:color w:val="auto"/>
          <w:sz w:val="20"/>
          <w:szCs w:val="20"/>
        </w:rPr>
        <w:t xml:space="preserve">5.3.1. Вносить в счет участия в долевом строительстве денежные средства, указанные в </w:t>
      </w:r>
      <w:hyperlink w:anchor="Par70" w:tgtFrame="2.3. Стоимость доли в Объекте, которую уплачивает Участник долевого строительства за нежилые помещения, а также доли в праве собственности на общее имущество Объекта составляет ________ (__________) рублей - ___% от общей стоимости Объекта.">
        <w:r>
          <w:rPr>
            <w:color w:val="auto"/>
            <w:sz w:val="20"/>
            <w:szCs w:val="20"/>
          </w:rPr>
          <w:t>п. 3.</w:t>
        </w:r>
      </w:hyperlink>
      <w:r>
        <w:rPr>
          <w:color w:val="auto"/>
          <w:sz w:val="20"/>
          <w:szCs w:val="20"/>
        </w:rPr>
        <w:t xml:space="preserve">1 настоящего Договора, в сроки, указанные в </w:t>
      </w:r>
      <w:hyperlink w:anchor="Par82" w:tgtFrame="4.1. Участник долевого строительства уплачивает денежные средства после государственной регистрации Договора &lt;5&gt; в размере, предусмотренном п. 2.3 настоящего Договора, путем перечисления в безналичном порядке указанных средств в рублях на расчетный счет Застро">
        <w:r>
          <w:rPr>
            <w:color w:val="auto"/>
            <w:sz w:val="20"/>
            <w:szCs w:val="20"/>
          </w:rPr>
          <w:t>п. 3.</w:t>
        </w:r>
      </w:hyperlink>
      <w:r>
        <w:rPr>
          <w:color w:val="auto"/>
          <w:sz w:val="20"/>
          <w:szCs w:val="20"/>
        </w:rPr>
        <w:t>4 настоящего Договора.</w:t>
      </w:r>
    </w:p>
    <w:p>
      <w:pPr>
        <w:pStyle w:val="Normal"/>
        <w:spacing w:lineRule="auto" w:line="240" w:before="0" w:after="0"/>
        <w:jc w:val="both"/>
        <w:rPr>
          <w:color w:val="auto"/>
          <w:sz w:val="20"/>
          <w:szCs w:val="20"/>
        </w:rPr>
      </w:pPr>
      <w:r>
        <w:rPr>
          <w:rFonts w:ascii="Times New Roman" w:hAnsi="Times New Roman"/>
          <w:color w:val="auto"/>
          <w:sz w:val="20"/>
          <w:szCs w:val="20"/>
        </w:rPr>
        <w:t>5.3.2. Участник долевого строительства, получивший сообщение Застройщика о завершении строительства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pPr>
        <w:pStyle w:val="Normal"/>
        <w:spacing w:lineRule="auto" w:line="240" w:before="0" w:after="0"/>
        <w:jc w:val="both"/>
        <w:rPr/>
      </w:pPr>
      <w:r>
        <w:rPr>
          <w:rFonts w:ascii="Times New Roman" w:hAnsi="Times New Roman"/>
          <w:color w:val="auto"/>
          <w:sz w:val="20"/>
          <w:szCs w:val="20"/>
        </w:rPr>
        <w:t xml:space="preserve">5.3.3.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6">
        <w:r>
          <w:rPr>
            <w:rFonts w:ascii="Times New Roman" w:hAnsi="Times New Roman"/>
            <w:color w:val="auto"/>
            <w:sz w:val="20"/>
            <w:szCs w:val="20"/>
          </w:rPr>
          <w:t>части 1 статьи 7</w:t>
        </w:r>
      </w:hyperlink>
      <w:r>
        <w:rPr>
          <w:rFonts w:ascii="Times New Roman" w:hAnsi="Times New Roman"/>
          <w:color w:val="auto"/>
          <w:sz w:val="20"/>
          <w:szCs w:val="20"/>
        </w:rPr>
        <w:t xml:space="preserve">  Федерального закона  от 30.12.2004 N 214-ФЗ ,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7">
        <w:r>
          <w:rPr>
            <w:rFonts w:ascii="Times New Roman" w:hAnsi="Times New Roman"/>
            <w:color w:val="auto"/>
            <w:sz w:val="20"/>
            <w:szCs w:val="20"/>
          </w:rPr>
          <w:t>частью 2 статьи 7</w:t>
        </w:r>
      </w:hyperlink>
      <w:r>
        <w:rPr>
          <w:rFonts w:ascii="Times New Roman" w:hAnsi="Times New Roman"/>
          <w:color w:val="auto"/>
          <w:sz w:val="20"/>
          <w:szCs w:val="20"/>
        </w:rPr>
        <w:t xml:space="preserve"> настоящего Федерального закона.</w:t>
      </w:r>
    </w:p>
    <w:p>
      <w:pPr>
        <w:pStyle w:val="ConsPlusNormal"/>
        <w:spacing w:lineRule="atLeast" w:line="240"/>
        <w:jc w:val="both"/>
        <w:rPr>
          <w:color w:val="auto"/>
          <w:sz w:val="20"/>
          <w:szCs w:val="20"/>
        </w:rPr>
      </w:pPr>
      <w:r>
        <w:rPr>
          <w:color w:val="auto"/>
          <w:sz w:val="20"/>
          <w:szCs w:val="20"/>
        </w:rPr>
        <w:t>5.3.4. Нести затраты по содержанию и эксплуатации нежилых помещений в размере, установленном в дополнительно заключенном соглашении Сторон, с момента ввода Объекта в эксплуатацию.</w:t>
      </w:r>
    </w:p>
    <w:p>
      <w:pPr>
        <w:pStyle w:val="1"/>
        <w:jc w:val="both"/>
        <w:rPr>
          <w:color w:val="auto"/>
          <w:sz w:val="20"/>
          <w:szCs w:val="20"/>
        </w:rPr>
      </w:pPr>
      <w:r>
        <w:rPr>
          <w:rFonts w:cs="Times New Roman"/>
          <w:color w:val="auto"/>
          <w:sz w:val="20"/>
          <w:szCs w:val="20"/>
        </w:rPr>
        <w:t xml:space="preserve">5.3.5. Использовать получаемые в собственность нежилые помещения в соответствии с их назначением. </w:t>
      </w:r>
    </w:p>
    <w:p>
      <w:pPr>
        <w:pStyle w:val="1"/>
        <w:jc w:val="both"/>
        <w:rPr>
          <w:color w:val="auto"/>
          <w:sz w:val="20"/>
          <w:szCs w:val="20"/>
        </w:rPr>
      </w:pPr>
      <w:r>
        <w:rPr>
          <w:rFonts w:cs="Times New Roman"/>
          <w:color w:val="auto"/>
          <w:sz w:val="20"/>
          <w:szCs w:val="20"/>
        </w:rPr>
        <w:t>5.3.6. После передачи Застройщиком Объекта по передаточному акту Участники долевого строительства вправе производить на Объекте работы по чистовой отделке.</w:t>
      </w:r>
    </w:p>
    <w:p>
      <w:pPr>
        <w:pStyle w:val="ConsPlusNormal"/>
        <w:spacing w:lineRule="atLeast" w:line="240"/>
        <w:jc w:val="both"/>
        <w:rPr>
          <w:color w:val="auto"/>
          <w:sz w:val="20"/>
          <w:szCs w:val="20"/>
        </w:rPr>
      </w:pPr>
      <w:r>
        <w:rPr>
          <w:color w:val="auto"/>
          <w:sz w:val="20"/>
          <w:szCs w:val="20"/>
        </w:rPr>
        <w:t>5.3.7. Предоставить все необходимые со стороны Участника долевого строительства документы для регистрации права собственности на нежилые помещения.</w:t>
      </w:r>
    </w:p>
    <w:p>
      <w:pPr>
        <w:pStyle w:val="1"/>
        <w:jc w:val="both"/>
        <w:rPr>
          <w:color w:val="auto"/>
          <w:sz w:val="20"/>
          <w:szCs w:val="20"/>
        </w:rPr>
      </w:pPr>
      <w:r>
        <w:rPr>
          <w:rFonts w:cs="Times New Roman"/>
          <w:b/>
          <w:color w:val="auto"/>
          <w:sz w:val="20"/>
          <w:szCs w:val="20"/>
        </w:rPr>
        <w:t>5.4.</w:t>
      </w:r>
      <w:r>
        <w:rPr>
          <w:rFonts w:cs="Times New Roman"/>
          <w:color w:val="auto"/>
          <w:sz w:val="20"/>
          <w:szCs w:val="20"/>
        </w:rPr>
        <w:t xml:space="preserve"> </w:t>
      </w:r>
      <w:r>
        <w:rPr>
          <w:rFonts w:cs="Times New Roman"/>
          <w:b/>
          <w:bCs/>
          <w:color w:val="auto"/>
          <w:sz w:val="20"/>
          <w:szCs w:val="20"/>
        </w:rPr>
        <w:t>Участник долевого строительства не вправе:</w:t>
      </w:r>
    </w:p>
    <w:p>
      <w:pPr>
        <w:pStyle w:val="1"/>
        <w:ind w:left="8" w:hanging="0"/>
        <w:jc w:val="both"/>
        <w:rPr>
          <w:color w:val="auto"/>
          <w:sz w:val="20"/>
          <w:szCs w:val="20"/>
        </w:rPr>
      </w:pPr>
      <w:r>
        <w:rPr>
          <w:rFonts w:cs="Times New Roman"/>
          <w:color w:val="auto"/>
          <w:sz w:val="20"/>
          <w:szCs w:val="20"/>
        </w:rPr>
        <w:t>5.4.1. Изменять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акта.</w:t>
      </w:r>
    </w:p>
    <w:p>
      <w:pPr>
        <w:pStyle w:val="1"/>
        <w:jc w:val="both"/>
        <w:rPr>
          <w:color w:val="auto"/>
          <w:sz w:val="20"/>
          <w:szCs w:val="20"/>
        </w:rPr>
      </w:pPr>
      <w:r>
        <w:rPr>
          <w:rFonts w:cs="Times New Roman"/>
          <w:color w:val="auto"/>
          <w:sz w:val="20"/>
          <w:szCs w:val="20"/>
        </w:rPr>
        <w:t>5.4.2. В случае если были произведены изменения конструктивных элементов или производство работ, указанных в п.5.4.1. Договора Участник долевого строительства обязаны своими силами и за свой счет в 5-ти дневный срок с момента получения соответствующего требования Застройщика вернуть Объект в первоначальное состояние и уплатить Застройщику штраф в размере 1% (один процент) от цены, указанной в п. 3.1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Участники долевого строительства обязаны возместить Застройщику убытки, вызванные приведением Объекта в первоначальное состояние.</w:t>
      </w:r>
    </w:p>
    <w:p>
      <w:pPr>
        <w:pStyle w:val="1"/>
        <w:jc w:val="both"/>
        <w:rPr>
          <w:color w:val="auto"/>
          <w:sz w:val="20"/>
          <w:szCs w:val="20"/>
        </w:rPr>
      </w:pPr>
      <w:r>
        <w:rPr>
          <w:rFonts w:cs="Times New Roman"/>
          <w:color w:val="auto"/>
          <w:sz w:val="20"/>
          <w:szCs w:val="20"/>
        </w:rPr>
        <w:t>5.5. Обо всех изменениях в платежных, почтовых и других реквизитах Стороны обязаны незамедлительно (в течение 7-ми дней) извещать друг друга.</w:t>
      </w:r>
    </w:p>
    <w:p>
      <w:pPr>
        <w:pStyle w:val="1"/>
        <w:jc w:val="both"/>
        <w:rPr>
          <w:color w:val="auto"/>
          <w:sz w:val="20"/>
          <w:szCs w:val="20"/>
        </w:rPr>
      </w:pPr>
      <w:r>
        <w:rPr>
          <w:rFonts w:cs="Times New Roman"/>
          <w:color w:val="auto"/>
          <w:sz w:val="20"/>
          <w:szCs w:val="20"/>
        </w:rPr>
        <w:t>5.6. Право собственности на нежилые помещения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в соответствующем государственном органе.</w:t>
      </w:r>
    </w:p>
    <w:p>
      <w:pPr>
        <w:pStyle w:val="Normal"/>
        <w:spacing w:lineRule="auto" w:line="240" w:before="0" w:after="0"/>
        <w:jc w:val="both"/>
        <w:rPr/>
      </w:pPr>
      <w:r>
        <w:rPr>
          <w:rFonts w:ascii="Times New Roman" w:hAnsi="Times New Roman"/>
          <w:color w:val="auto"/>
          <w:sz w:val="20"/>
          <w:szCs w:val="20"/>
        </w:rPr>
        <w:t xml:space="preserve">5.7.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r:id="rId8">
        <w:r>
          <w:rPr>
            <w:rFonts w:ascii="Times New Roman" w:hAnsi="Times New Roman"/>
            <w:color w:val="auto"/>
            <w:sz w:val="20"/>
            <w:szCs w:val="20"/>
          </w:rPr>
          <w:t>частью 4</w:t>
        </w:r>
      </w:hyperlink>
      <w:r>
        <w:rPr>
          <w:rFonts w:ascii="Times New Roman" w:hAnsi="Times New Roman"/>
          <w:color w:val="auto"/>
          <w:sz w:val="20"/>
          <w:szCs w:val="20"/>
        </w:rP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pPr>
        <w:pStyle w:val="ConsPlusNormal"/>
        <w:numPr>
          <w:ilvl w:val="0"/>
          <w:numId w:val="0"/>
        </w:numPr>
        <w:ind w:left="0" w:hanging="0"/>
        <w:jc w:val="center"/>
        <w:outlineLvl w:val="0"/>
        <w:rPr>
          <w:color w:val="auto"/>
          <w:sz w:val="20"/>
          <w:szCs w:val="20"/>
        </w:rPr>
      </w:pPr>
      <w:r>
        <w:rPr>
          <w:b/>
          <w:color w:val="auto"/>
          <w:sz w:val="20"/>
          <w:szCs w:val="20"/>
        </w:rPr>
        <w:t>6. ГАРАНТИЙНЫЕ ОБЯЗАТЕЛЬСТВА</w:t>
      </w:r>
    </w:p>
    <w:p>
      <w:pPr>
        <w:pStyle w:val="ConsPlusNormal"/>
        <w:jc w:val="both"/>
        <w:rPr>
          <w:color w:val="auto"/>
          <w:sz w:val="20"/>
          <w:szCs w:val="20"/>
        </w:rPr>
      </w:pPr>
      <w:r>
        <w:rPr>
          <w:color w:val="auto"/>
          <w:sz w:val="20"/>
          <w:szCs w:val="20"/>
        </w:rPr>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pPr>
        <w:pStyle w:val="ConsPlusNormal"/>
        <w:jc w:val="both"/>
        <w:rPr/>
      </w:pPr>
      <w:r>
        <w:rPr>
          <w:color w:val="auto"/>
          <w:sz w:val="20"/>
          <w:szCs w:val="20"/>
        </w:rPr>
        <w:t xml:space="preserve">6.2.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w:t>
      </w:r>
      <w:hyperlink r:id="rId9">
        <w:r>
          <w:rPr>
            <w:color w:val="auto"/>
            <w:sz w:val="20"/>
            <w:szCs w:val="20"/>
          </w:rPr>
          <w:t>акта</w:t>
        </w:r>
      </w:hyperlink>
      <w:r>
        <w:rPr>
          <w:color w:val="auto"/>
          <w:sz w:val="20"/>
          <w:szCs w:val="20"/>
        </w:rPr>
        <w:t>.</w:t>
      </w:r>
    </w:p>
    <w:p>
      <w:pPr>
        <w:pStyle w:val="ConsPlusNormal"/>
        <w:jc w:val="both"/>
        <w:rPr>
          <w:color w:val="auto"/>
          <w:sz w:val="20"/>
          <w:szCs w:val="20"/>
        </w:rPr>
      </w:pPr>
      <w:r>
        <w:rPr>
          <w:color w:val="auto"/>
          <w:sz w:val="20"/>
          <w:szCs w:val="20"/>
        </w:rPr>
        <w:t>6.3. Застройщик не несет ответственности за недостатки (дефекты) нежилых помещений, обнаруженные в течение гарантийного срока, если докажет, что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нежилого помещения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его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pPr>
        <w:pStyle w:val="ConsPlusNormal"/>
        <w:numPr>
          <w:ilvl w:val="0"/>
          <w:numId w:val="0"/>
        </w:numPr>
        <w:ind w:left="0" w:hanging="0"/>
        <w:jc w:val="center"/>
        <w:outlineLvl w:val="0"/>
        <w:rPr>
          <w:color w:val="auto"/>
          <w:sz w:val="20"/>
          <w:szCs w:val="20"/>
        </w:rPr>
      </w:pPr>
      <w:r>
        <w:rPr>
          <w:b/>
          <w:color w:val="auto"/>
          <w:sz w:val="20"/>
          <w:szCs w:val="20"/>
        </w:rPr>
        <w:t>7. ОТВЕТСТВЕННОСТЬ СТОРОН</w:t>
      </w:r>
    </w:p>
    <w:p>
      <w:pPr>
        <w:pStyle w:val="ConsPlusNormal"/>
        <w:jc w:val="both"/>
        <w:rPr>
          <w:color w:val="auto"/>
          <w:sz w:val="20"/>
          <w:szCs w:val="20"/>
        </w:rPr>
      </w:pPr>
      <w:r>
        <w:rPr>
          <w:color w:val="auto"/>
          <w:sz w:val="20"/>
          <w:szCs w:val="20"/>
        </w:rPr>
        <w:t>7.1.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w:t>
      </w:r>
    </w:p>
    <w:p>
      <w:pPr>
        <w:pStyle w:val="1"/>
        <w:ind w:left="8" w:hanging="0"/>
        <w:jc w:val="both"/>
        <w:rPr>
          <w:color w:val="auto"/>
          <w:sz w:val="20"/>
          <w:szCs w:val="20"/>
        </w:rPr>
      </w:pPr>
      <w:r>
        <w:rPr>
          <w:rFonts w:cs="Times New Roman"/>
          <w:color w:val="auto"/>
          <w:sz w:val="20"/>
          <w:szCs w:val="20"/>
        </w:rPr>
        <w:t>7.2.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возместить другой Стороне причиненные убытки в соответствии с действующим законодательством Российской Федерации.</w:t>
      </w:r>
    </w:p>
    <w:p>
      <w:pPr>
        <w:pStyle w:val="1"/>
        <w:ind w:left="8" w:hanging="0"/>
        <w:jc w:val="both"/>
        <w:rPr>
          <w:color w:val="auto"/>
          <w:sz w:val="20"/>
          <w:szCs w:val="20"/>
        </w:rPr>
      </w:pPr>
      <w:r>
        <w:rPr>
          <w:rFonts w:cs="Times New Roman"/>
          <w:color w:val="auto"/>
          <w:sz w:val="20"/>
          <w:szCs w:val="20"/>
        </w:rPr>
        <w:t>7.3. Просрочка внесения платежа Участниками долевого строительства более чем на два месяца является основанием для предъявления Застройщиком требования о расторжении Договора во внесудебном порядке.</w:t>
      </w:r>
    </w:p>
    <w:p>
      <w:pPr>
        <w:pStyle w:val="1"/>
        <w:ind w:left="8" w:hanging="0"/>
        <w:jc w:val="both"/>
        <w:rPr>
          <w:color w:val="auto"/>
          <w:sz w:val="20"/>
          <w:szCs w:val="20"/>
        </w:rPr>
      </w:pPr>
      <w:r>
        <w:rPr>
          <w:rFonts w:cs="Times New Roman"/>
          <w:color w:val="auto"/>
          <w:sz w:val="20"/>
          <w:szCs w:val="20"/>
        </w:rPr>
        <w:t>7.4.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pPr>
        <w:pStyle w:val="Normal"/>
        <w:spacing w:lineRule="atLeast" w:line="240" w:before="0" w:after="0"/>
        <w:jc w:val="both"/>
        <w:rPr>
          <w:color w:val="auto"/>
          <w:sz w:val="20"/>
          <w:szCs w:val="20"/>
        </w:rPr>
      </w:pPr>
      <w:r>
        <w:rPr>
          <w:rFonts w:ascii="Times New Roman" w:hAnsi="Times New Roman"/>
          <w:color w:val="auto"/>
          <w:sz w:val="20"/>
          <w:szCs w:val="20"/>
        </w:rPr>
        <w:t>7.5. Сторона, по инициативе которой расторгается Договор, обязана уплатить неустойку в размере 20% от цены Договора, кроме случаев, когда Договор расторгается по основаниям, предусмотренным пунктами 7.3., 7.6.,7.7.  настоящего Договора.</w:t>
      </w:r>
    </w:p>
    <w:p>
      <w:pPr>
        <w:pStyle w:val="Normal"/>
        <w:spacing w:lineRule="atLeast" w:line="240" w:before="0" w:after="0"/>
        <w:jc w:val="both"/>
        <w:rPr>
          <w:color w:val="auto"/>
          <w:sz w:val="20"/>
          <w:szCs w:val="20"/>
        </w:rPr>
      </w:pPr>
      <w:r>
        <w:rPr>
          <w:rFonts w:ascii="Times New Roman" w:hAnsi="Times New Roman"/>
          <w:color w:val="auto"/>
          <w:sz w:val="20"/>
          <w:szCs w:val="20"/>
        </w:rPr>
        <w:t>7.6. В случае расторжения Договора по любой причине, денежные средства со счета-эскроу подлежат возврату Участнику путем их перечисления Эскроу-агентом на счет Участника, открытого в уполномоченном банке. При заключении Договора счета-эскроу, Участник обязан указать в договоре счета-эскроу номер счета, в качестве счета, на который осуществляется возврат денежных средств.</w:t>
      </w:r>
    </w:p>
    <w:p>
      <w:pPr>
        <w:pStyle w:val="Normal"/>
        <w:spacing w:lineRule="atLeast" w:line="240" w:before="0" w:after="0"/>
        <w:jc w:val="both"/>
        <w:rPr>
          <w:color w:val="auto"/>
          <w:sz w:val="20"/>
          <w:szCs w:val="20"/>
        </w:rPr>
      </w:pPr>
      <w:r>
        <w:rPr>
          <w:rFonts w:ascii="Times New Roman" w:hAnsi="Times New Roman"/>
          <w:color w:val="auto"/>
          <w:sz w:val="20"/>
          <w:szCs w:val="20"/>
        </w:rPr>
        <w:t>7.7. Фактически внесенные Участником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t>
      </w:r>
    </w:p>
    <w:p>
      <w:pPr>
        <w:pStyle w:val="Normal"/>
        <w:spacing w:lineRule="atLeast" w:line="240" w:before="0" w:after="0"/>
        <w:jc w:val="both"/>
        <w:rPr/>
      </w:pPr>
      <w:r>
        <w:rPr>
          <w:rFonts w:ascii="Times New Roman" w:hAnsi="Times New Roman"/>
          <w:color w:val="auto"/>
          <w:sz w:val="20"/>
          <w:szCs w:val="20"/>
        </w:rPr>
        <w:t xml:space="preserve">7.8. В случае если Объект построен Застройщиком с отступлениями от условий настоящего Договора и (или) указанных в </w:t>
      </w:r>
      <w:hyperlink r:id="rId10">
        <w:r>
          <w:rPr>
            <w:rFonts w:ascii="Times New Roman" w:hAnsi="Times New Roman"/>
            <w:color w:val="auto"/>
            <w:sz w:val="20"/>
            <w:szCs w:val="20"/>
          </w:rPr>
          <w:t>ч. 1 ст. 7</w:t>
        </w:r>
      </w:hyperlink>
      <w:r>
        <w:rPr>
          <w:rFonts w:ascii="Times New Roman" w:hAnsi="Times New Roman"/>
          <w:color w:val="auto"/>
          <w:sz w:val="20"/>
          <w:szCs w:val="20"/>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pPr>
        <w:pStyle w:val="ConsPlusNormal"/>
        <w:jc w:val="both"/>
        <w:rPr>
          <w:color w:val="auto"/>
          <w:sz w:val="20"/>
          <w:szCs w:val="20"/>
        </w:rPr>
      </w:pPr>
      <w:r>
        <w:rPr>
          <w:color w:val="auto"/>
          <w:sz w:val="20"/>
          <w:szCs w:val="20"/>
        </w:rPr>
        <w:t>1) безвозмездного устранения недостатков в разумный срок;</w:t>
      </w:r>
    </w:p>
    <w:p>
      <w:pPr>
        <w:pStyle w:val="ConsPlusNormal"/>
        <w:jc w:val="both"/>
        <w:rPr>
          <w:color w:val="auto"/>
          <w:sz w:val="20"/>
          <w:szCs w:val="20"/>
        </w:rPr>
      </w:pPr>
      <w:r>
        <w:rPr>
          <w:color w:val="auto"/>
          <w:sz w:val="20"/>
          <w:szCs w:val="20"/>
        </w:rPr>
        <w:t>2) соразмерного уменьшения цены Договора;</w:t>
      </w:r>
    </w:p>
    <w:p>
      <w:pPr>
        <w:pStyle w:val="ConsPlusNormal"/>
        <w:jc w:val="both"/>
        <w:rPr>
          <w:color w:val="auto"/>
          <w:sz w:val="20"/>
          <w:szCs w:val="20"/>
        </w:rPr>
      </w:pPr>
      <w:r>
        <w:rPr>
          <w:color w:val="auto"/>
          <w:sz w:val="20"/>
          <w:szCs w:val="20"/>
        </w:rPr>
        <w:t>3) возмещения своих расходов на устранение недостатков.</w:t>
      </w:r>
    </w:p>
    <w:p>
      <w:pPr>
        <w:pStyle w:val="ConsPlusNormal"/>
        <w:jc w:val="both"/>
        <w:rPr/>
      </w:pPr>
      <w:r>
        <w:rPr>
          <w:color w:val="auto"/>
          <w:sz w:val="20"/>
          <w:szCs w:val="20"/>
        </w:rPr>
        <w:t xml:space="preserve">7.9. В случае существенного нарушения требований к качеству Объекта (нежилых помещений) или не 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w:t>
      </w:r>
      <w:hyperlink r:id="rId11">
        <w:r>
          <w:rPr>
            <w:color w:val="auto"/>
            <w:sz w:val="20"/>
            <w:szCs w:val="20"/>
          </w:rPr>
          <w:t>ч. 2 ст. 9</w:t>
        </w:r>
      </w:hyperlink>
      <w:r>
        <w:rPr>
          <w:color w:val="auto"/>
          <w:sz w:val="20"/>
          <w:szCs w:val="20"/>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spacing w:lineRule="auto" w:line="240" w:before="0" w:after="0"/>
        <w:jc w:val="both"/>
        <w:rPr>
          <w:color w:val="auto"/>
          <w:sz w:val="20"/>
          <w:szCs w:val="20"/>
        </w:rPr>
      </w:pPr>
      <w:r>
        <w:rPr>
          <w:rFonts w:ascii="Times New Roman" w:hAnsi="Times New Roman"/>
          <w:color w:val="auto"/>
          <w:sz w:val="20"/>
          <w:szCs w:val="20"/>
        </w:rPr>
        <w:t>7.10.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pPr>
        <w:pStyle w:val="ConsPlusNormal"/>
        <w:jc w:val="both"/>
        <w:rPr>
          <w:color w:val="auto"/>
          <w:sz w:val="20"/>
          <w:szCs w:val="20"/>
        </w:rPr>
      </w:pPr>
      <w:r>
        <w:rPr>
          <w:color w:val="auto"/>
          <w:sz w:val="20"/>
          <w:szCs w:val="20"/>
        </w:rPr>
        <w:t>7.11. В случае нарушения предусмотренного Договором срока передачи Участнику долевого строительства нежилых помещений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pPr>
        <w:pStyle w:val="Normal"/>
        <w:spacing w:lineRule="auto" w:line="240" w:before="0" w:after="0"/>
        <w:jc w:val="both"/>
        <w:rPr>
          <w:color w:val="auto"/>
          <w:sz w:val="20"/>
          <w:szCs w:val="20"/>
        </w:rPr>
      </w:pPr>
      <w:r>
        <w:rPr>
          <w:rFonts w:ascii="Times New Roman" w:hAnsi="Times New Roman"/>
          <w:color w:val="auto"/>
          <w:sz w:val="20"/>
          <w:szCs w:val="20"/>
        </w:rPr>
        <w:t>7.12.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pPr>
        <w:pStyle w:val="ConsPlusNormal"/>
        <w:numPr>
          <w:ilvl w:val="0"/>
          <w:numId w:val="0"/>
        </w:numPr>
        <w:ind w:left="0" w:hanging="0"/>
        <w:jc w:val="center"/>
        <w:outlineLvl w:val="0"/>
        <w:rPr>
          <w:color w:val="auto"/>
          <w:sz w:val="20"/>
          <w:szCs w:val="20"/>
        </w:rPr>
      </w:pPr>
      <w:r>
        <w:rPr>
          <w:color w:val="auto"/>
          <w:sz w:val="20"/>
          <w:szCs w:val="20"/>
        </w:rPr>
      </w:r>
    </w:p>
    <w:p>
      <w:pPr>
        <w:pStyle w:val="ConsPlusNormal"/>
        <w:ind w:firstLine="540"/>
        <w:jc w:val="center"/>
        <w:rPr>
          <w:color w:val="auto"/>
          <w:sz w:val="20"/>
          <w:szCs w:val="20"/>
        </w:rPr>
      </w:pPr>
      <w:r>
        <w:rPr>
          <w:b/>
          <w:color w:val="auto"/>
          <w:sz w:val="20"/>
          <w:szCs w:val="20"/>
        </w:rPr>
        <w:t>8. ОБСТОЯТЕЛЬСТВА НЕПРЕОДОЛИМОЙ СТИЛЫ (ФОРС-МАЖОР)</w:t>
      </w:r>
    </w:p>
    <w:p>
      <w:pPr>
        <w:pStyle w:val="1"/>
        <w:ind w:left="16" w:hanging="0"/>
        <w:jc w:val="both"/>
        <w:rPr>
          <w:color w:val="auto"/>
          <w:sz w:val="20"/>
          <w:szCs w:val="20"/>
        </w:rPr>
      </w:pPr>
      <w:r>
        <w:rPr>
          <w:rFonts w:cs="Times New Roman"/>
          <w:color w:val="auto"/>
          <w:sz w:val="20"/>
          <w:szCs w:val="20"/>
        </w:rPr>
        <w:t>8.1.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pPr>
        <w:pStyle w:val="1"/>
        <w:jc w:val="both"/>
        <w:rPr>
          <w:color w:val="auto"/>
          <w:sz w:val="20"/>
          <w:szCs w:val="20"/>
        </w:rPr>
      </w:pPr>
      <w:r>
        <w:rPr>
          <w:rFonts w:cs="Times New Roman"/>
          <w:color w:val="auto"/>
          <w:sz w:val="20"/>
          <w:szCs w:val="20"/>
        </w:rPr>
        <w:t>8.2.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pPr>
        <w:pStyle w:val="1"/>
        <w:jc w:val="both"/>
        <w:rPr>
          <w:color w:val="auto"/>
          <w:sz w:val="20"/>
          <w:szCs w:val="20"/>
        </w:rPr>
      </w:pPr>
      <w:r>
        <w:rPr>
          <w:rFonts w:cs="Times New Roman"/>
          <w:color w:val="auto"/>
          <w:sz w:val="20"/>
          <w:szCs w:val="20"/>
        </w:rPr>
        <w:t>8.3.При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pPr>
        <w:pStyle w:val="1"/>
        <w:jc w:val="both"/>
        <w:rPr>
          <w:color w:val="auto"/>
          <w:sz w:val="20"/>
          <w:szCs w:val="20"/>
        </w:rPr>
      </w:pPr>
      <w:r>
        <w:rPr>
          <w:rFonts w:cs="Times New Roman"/>
          <w:color w:val="auto"/>
          <w:sz w:val="20"/>
          <w:szCs w:val="20"/>
        </w:rPr>
        <w:t>8.4 Если форс-мажорные обстоятельства длятся более 3-х месяцев, Стороны имеют право расторгнуть Договор до истечения срока его действия.</w:t>
      </w:r>
    </w:p>
    <w:p>
      <w:pPr>
        <w:pStyle w:val="1"/>
        <w:jc w:val="both"/>
        <w:rPr>
          <w:color w:val="auto"/>
          <w:sz w:val="20"/>
          <w:szCs w:val="20"/>
        </w:rPr>
      </w:pPr>
      <w:r>
        <w:rPr>
          <w:rFonts w:cs="Times New Roman"/>
          <w:color w:val="auto"/>
          <w:sz w:val="20"/>
          <w:szCs w:val="20"/>
        </w:rPr>
        <w:t>8.5.Сторона, на территории которой случились обстоятельства непреодолимой силы, обязана в течение 7-ми (Семи) рабочих дней со дня прекращения обстоятельств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pPr>
        <w:pStyle w:val="1"/>
        <w:jc w:val="both"/>
        <w:rPr>
          <w:color w:val="auto"/>
          <w:sz w:val="20"/>
          <w:szCs w:val="20"/>
        </w:rPr>
      </w:pPr>
      <w:r>
        <w:rPr>
          <w:rFonts w:cs="Times New Roman"/>
          <w:color w:val="auto"/>
          <w:sz w:val="20"/>
          <w:szCs w:val="20"/>
        </w:rPr>
        <w:t>8.6.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pPr>
        <w:pStyle w:val="1"/>
        <w:jc w:val="both"/>
        <w:rPr>
          <w:rFonts w:cs="Times New Roman"/>
          <w:color w:val="auto"/>
          <w:sz w:val="20"/>
          <w:szCs w:val="20"/>
        </w:rPr>
      </w:pPr>
      <w:r>
        <w:rPr>
          <w:rFonts w:cs="Times New Roman"/>
          <w:color w:val="auto"/>
          <w:sz w:val="20"/>
          <w:szCs w:val="20"/>
        </w:rPr>
      </w:r>
    </w:p>
    <w:p>
      <w:pPr>
        <w:pStyle w:val="1"/>
        <w:ind w:left="-142" w:firstLine="567"/>
        <w:jc w:val="center"/>
        <w:rPr>
          <w:color w:val="auto"/>
          <w:sz w:val="20"/>
          <w:szCs w:val="20"/>
        </w:rPr>
      </w:pPr>
      <w:r>
        <w:rPr>
          <w:rFonts w:cs="Times New Roman"/>
          <w:b/>
          <w:color w:val="auto"/>
          <w:sz w:val="20"/>
          <w:szCs w:val="20"/>
        </w:rPr>
        <w:t>9. УСТУПКА ПРАВ ТРЕБОВАНИЙ ПО ДОГОВОРУ</w:t>
      </w:r>
    </w:p>
    <w:p>
      <w:pPr>
        <w:pStyle w:val="1"/>
        <w:ind w:left="8" w:hanging="0"/>
        <w:jc w:val="both"/>
        <w:rPr>
          <w:color w:val="auto"/>
          <w:sz w:val="20"/>
          <w:szCs w:val="20"/>
        </w:rPr>
      </w:pPr>
      <w:r>
        <w:rPr>
          <w:rFonts w:cs="Times New Roman"/>
          <w:color w:val="auto"/>
          <w:sz w:val="20"/>
          <w:szCs w:val="20"/>
        </w:rPr>
        <w:t>9.1. Уступка Участником долевого строительства прав требований по Договору иному лицу допускается только после уплаты им Застройщику цены Договора.</w:t>
      </w:r>
    </w:p>
    <w:p>
      <w:pPr>
        <w:pStyle w:val="1"/>
        <w:ind w:left="8" w:hanging="0"/>
        <w:jc w:val="both"/>
        <w:rPr>
          <w:color w:val="auto"/>
          <w:sz w:val="20"/>
          <w:szCs w:val="20"/>
        </w:rPr>
      </w:pPr>
      <w:r>
        <w:rPr>
          <w:rFonts w:cs="Times New Roman"/>
          <w:color w:val="auto"/>
          <w:sz w:val="20"/>
          <w:szCs w:val="20"/>
        </w:rPr>
        <w:t>9.2.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на регистрацию несет Участник долевого строительства и (или) новый Участник долевого строительства.</w:t>
      </w:r>
    </w:p>
    <w:p>
      <w:pPr>
        <w:pStyle w:val="1"/>
        <w:ind w:left="23" w:hanging="0"/>
        <w:jc w:val="both"/>
        <w:rPr>
          <w:color w:val="auto"/>
          <w:sz w:val="20"/>
          <w:szCs w:val="20"/>
        </w:rPr>
      </w:pPr>
      <w:r>
        <w:rPr>
          <w:rFonts w:cs="Times New Roman"/>
          <w:color w:val="auto"/>
          <w:sz w:val="20"/>
          <w:szCs w:val="20"/>
        </w:rPr>
        <w:t>9.3.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pPr>
        <w:pStyle w:val="1"/>
        <w:ind w:left="23" w:hanging="0"/>
        <w:jc w:val="both"/>
        <w:rPr>
          <w:color w:val="auto"/>
          <w:sz w:val="20"/>
          <w:szCs w:val="20"/>
        </w:rPr>
      </w:pPr>
      <w:r>
        <w:rPr>
          <w:rFonts w:cs="Times New Roman"/>
          <w:color w:val="auto"/>
          <w:sz w:val="20"/>
          <w:szCs w:val="20"/>
        </w:rPr>
        <w:t>9.4</w:t>
      </w:r>
      <w:r>
        <w:rPr>
          <w:rFonts w:cs="Times New Roman"/>
          <w:color w:val="auto" w:themeShade="bf"/>
          <w:sz w:val="20"/>
          <w:szCs w:val="20"/>
        </w:rPr>
        <w:t>. В период действия Кредитного договора уступка Участником прав и обязанностей по настоящему Договору возможна при условии получения письменного согласия Банка, полученного на основании предварительного письменного уведомления, направленного Участником в адрес Банка: РОССИЙСКИЙ НАЦИОНАЛЬНЫЙ КОММЕРЧЕСКИЙ БАНК (ПАО),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rncb@rncb.ru. В этом случае Банк сохраняет за собой право потребовать от Участника полного досрочного исполнения обязательств по Кредитному договору.</w:t>
      </w:r>
    </w:p>
    <w:p>
      <w:pPr>
        <w:pStyle w:val="1"/>
        <w:ind w:left="23" w:hanging="0"/>
        <w:jc w:val="both"/>
        <w:rPr>
          <w:rFonts w:cs="Times New Roman"/>
          <w:color w:val="auto"/>
          <w:sz w:val="20"/>
          <w:szCs w:val="20"/>
        </w:rPr>
      </w:pPr>
      <w:r>
        <w:rPr>
          <w:rFonts w:cs="Times New Roman"/>
          <w:color w:val="auto"/>
          <w:sz w:val="20"/>
          <w:szCs w:val="20"/>
        </w:rPr>
      </w:r>
    </w:p>
    <w:p>
      <w:pPr>
        <w:pStyle w:val="ConsPlusNormal"/>
        <w:numPr>
          <w:ilvl w:val="0"/>
          <w:numId w:val="0"/>
        </w:numPr>
        <w:ind w:left="0" w:hanging="0"/>
        <w:jc w:val="center"/>
        <w:outlineLvl w:val="0"/>
        <w:rPr>
          <w:color w:val="auto"/>
          <w:sz w:val="20"/>
          <w:szCs w:val="20"/>
        </w:rPr>
      </w:pPr>
      <w:r>
        <w:rPr>
          <w:b/>
          <w:color w:val="auto"/>
          <w:sz w:val="20"/>
          <w:szCs w:val="20"/>
        </w:rPr>
        <w:t>10. СРОК ДЕЙСТВИЯ ДОГОВОРА</w:t>
      </w:r>
    </w:p>
    <w:p>
      <w:pPr>
        <w:pStyle w:val="ConsPlusNormal"/>
        <w:jc w:val="both"/>
        <w:rPr/>
      </w:pPr>
      <w:r>
        <w:rPr>
          <w:color w:val="auto"/>
          <w:sz w:val="20"/>
          <w:szCs w:val="20"/>
        </w:rPr>
        <w:t xml:space="preserve">10.1. Настоящий Договор подписывается Сторонами и подлежит государственной регистрации в порядке, установленном Федеральным </w:t>
      </w:r>
      <w:hyperlink r:id="rId12">
        <w:r>
          <w:rPr>
            <w:color w:val="auto"/>
            <w:sz w:val="20"/>
            <w:szCs w:val="20"/>
          </w:rPr>
          <w:t>законом</w:t>
        </w:r>
      </w:hyperlink>
      <w:r>
        <w:rPr>
          <w:color w:val="auto"/>
          <w:sz w:val="20"/>
          <w:szCs w:val="20"/>
        </w:rPr>
        <w:t xml:space="preserve"> от 13.07.2015 N 218-ФЗ "О государственной регистрации недвижимости". Договор считается заключенным с момента государственной регистрации.</w:t>
      </w:r>
    </w:p>
    <w:p>
      <w:pPr>
        <w:pStyle w:val="ConsPlusNormal"/>
        <w:jc w:val="both"/>
        <w:rPr>
          <w:color w:val="auto"/>
          <w:sz w:val="20"/>
          <w:szCs w:val="20"/>
        </w:rPr>
      </w:pPr>
      <w:r>
        <w:rPr>
          <w:color w:val="auto"/>
          <w:sz w:val="20"/>
          <w:szCs w:val="20"/>
        </w:rPr>
        <w:t>10.2. Настоящий Договор действует до момента исполнения Сторонами своих обязательств по нему.</w:t>
      </w:r>
    </w:p>
    <w:p>
      <w:pPr>
        <w:pStyle w:val="ConsPlusNormal"/>
        <w:jc w:val="both"/>
        <w:rPr>
          <w:b/>
          <w:b/>
          <w:color w:val="auto"/>
          <w:sz w:val="20"/>
          <w:szCs w:val="20"/>
        </w:rPr>
      </w:pPr>
      <w:r>
        <w:rPr>
          <w:b/>
          <w:color w:val="auto"/>
          <w:sz w:val="20"/>
          <w:szCs w:val="20"/>
        </w:rPr>
      </w:r>
    </w:p>
    <w:p>
      <w:pPr>
        <w:pStyle w:val="ConsPlusNormal"/>
        <w:numPr>
          <w:ilvl w:val="0"/>
          <w:numId w:val="0"/>
        </w:numPr>
        <w:ind w:left="0" w:hanging="0"/>
        <w:jc w:val="center"/>
        <w:outlineLvl w:val="0"/>
        <w:rPr>
          <w:color w:val="auto"/>
          <w:sz w:val="20"/>
          <w:szCs w:val="20"/>
        </w:rPr>
      </w:pPr>
      <w:r>
        <w:rPr>
          <w:b/>
          <w:color w:val="auto"/>
          <w:sz w:val="20"/>
          <w:szCs w:val="20"/>
        </w:rPr>
        <w:t>11. ЗАКЛЮЧИТЕЛЬНЫЕ ПОЛОЖЕНИЯ</w:t>
      </w:r>
    </w:p>
    <w:p>
      <w:pPr>
        <w:pStyle w:val="ConsPlusNormal"/>
        <w:jc w:val="both"/>
        <w:rPr>
          <w:color w:val="auto"/>
          <w:sz w:val="20"/>
          <w:szCs w:val="20"/>
        </w:rPr>
      </w:pPr>
      <w:r>
        <w:rPr>
          <w:color w:val="auto"/>
          <w:sz w:val="20"/>
          <w:szCs w:val="20"/>
        </w:rPr>
        <w:t>11.1. Настоящий Договор может быть изменен или прекращен по письменному соглашению Сторон.</w:t>
      </w:r>
    </w:p>
    <w:p>
      <w:pPr>
        <w:pStyle w:val="ConsPlusNormal"/>
        <w:jc w:val="both"/>
        <w:rPr>
          <w:color w:val="auto"/>
          <w:sz w:val="20"/>
          <w:szCs w:val="20"/>
        </w:rPr>
      </w:pPr>
      <w:r>
        <w:rPr>
          <w:color w:val="auto"/>
          <w:sz w:val="20"/>
          <w:szCs w:val="20"/>
        </w:rPr>
        <w:t>11.2. Стороны не вправе отказываться в одностороннем порядке от исполнения обязательств по настоящему Договору, за исключением случаев, оговоренных разделом 7 настоящего договора.</w:t>
      </w:r>
    </w:p>
    <w:p>
      <w:pPr>
        <w:pStyle w:val="ConsPlusNormal"/>
        <w:jc w:val="both"/>
        <w:rPr>
          <w:color w:val="auto"/>
          <w:sz w:val="20"/>
          <w:szCs w:val="20"/>
        </w:rPr>
      </w:pPr>
      <w:r>
        <w:rPr>
          <w:color w:val="auto"/>
          <w:sz w:val="20"/>
          <w:szCs w:val="20"/>
        </w:rPr>
        <w:t>11.3.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скреплены печатями и зарегистрированы в установленном законодательством Российской Федерации порядке. Такие изменения вступают в силу с момента их государственной регистрации.</w:t>
      </w:r>
    </w:p>
    <w:p>
      <w:pPr>
        <w:pStyle w:val="ConsPlusNormal"/>
        <w:jc w:val="both"/>
        <w:rPr>
          <w:color w:val="auto"/>
          <w:sz w:val="20"/>
          <w:szCs w:val="20"/>
        </w:rPr>
      </w:pPr>
      <w:r>
        <w:rPr>
          <w:color w:val="auto"/>
          <w:sz w:val="20"/>
          <w:szCs w:val="20"/>
        </w:rPr>
        <w:t>11.4. Все приложения к Договору, согласованные обеими Сторонами, являются его неотъемлемой частью.</w:t>
      </w:r>
    </w:p>
    <w:p>
      <w:pPr>
        <w:pStyle w:val="ConsPlusNormal"/>
        <w:jc w:val="both"/>
        <w:rPr>
          <w:color w:val="auto"/>
          <w:sz w:val="20"/>
          <w:szCs w:val="20"/>
        </w:rPr>
      </w:pPr>
      <w:r>
        <w:rPr>
          <w:color w:val="auto"/>
          <w:sz w:val="20"/>
          <w:szCs w:val="20"/>
        </w:rPr>
        <w:t>11.5. Настоящий Договор составлен на 8 (восьми) страницах, в трех экземплярах, имеющих одинаковую юридическую силу, по одному экземпляру для каждой из Сторон и один экземпляр для регистрирующего органа.</w:t>
      </w:r>
    </w:p>
    <w:p>
      <w:pPr>
        <w:pStyle w:val="ConsPlusNormal"/>
        <w:jc w:val="both"/>
        <w:rPr>
          <w:color w:val="auto"/>
          <w:sz w:val="20"/>
          <w:szCs w:val="20"/>
        </w:rPr>
      </w:pPr>
      <w:r>
        <w:rPr>
          <w:color w:val="auto"/>
          <w:sz w:val="20"/>
          <w:szCs w:val="20"/>
        </w:rPr>
        <w:t>11.6. Договор может быть прекращен в случаях, предусмотренных действующим законодательством и настоящим Договором.</w:t>
      </w:r>
    </w:p>
    <w:p>
      <w:pPr>
        <w:pStyle w:val="ConsPlusNormal"/>
        <w:ind w:firstLine="540"/>
        <w:jc w:val="both"/>
        <w:rPr>
          <w:color w:val="auto"/>
          <w:sz w:val="20"/>
          <w:szCs w:val="20"/>
        </w:rPr>
      </w:pPr>
      <w:r>
        <w:rPr>
          <w:color w:val="auto"/>
          <w:sz w:val="20"/>
          <w:szCs w:val="20"/>
        </w:rPr>
        <w:t>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pPr>
        <w:pStyle w:val="ConsPlusNormal"/>
        <w:jc w:val="both"/>
        <w:rPr>
          <w:color w:val="auto"/>
          <w:sz w:val="20"/>
          <w:szCs w:val="20"/>
        </w:rPr>
      </w:pPr>
      <w:r>
        <w:rPr>
          <w:color w:val="auto"/>
          <w:sz w:val="20"/>
          <w:szCs w:val="20"/>
        </w:rPr>
        <w:t>11.7.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pPr>
        <w:pStyle w:val="ConsPlusNormal"/>
        <w:jc w:val="both"/>
        <w:rPr>
          <w:color w:val="auto"/>
          <w:sz w:val="20"/>
          <w:szCs w:val="20"/>
        </w:rPr>
      </w:pPr>
      <w:r>
        <w:rPr>
          <w:color w:val="auto"/>
          <w:sz w:val="20"/>
          <w:szCs w:val="20"/>
        </w:rPr>
        <w:t>11.8</w:t>
      </w:r>
      <w:r>
        <w:rPr>
          <w:color w:val="auto" w:themeShade="bf"/>
          <w:sz w:val="20"/>
          <w:szCs w:val="20"/>
        </w:rPr>
        <w:t>. 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долевого строительства в адрес Банка: РОССИЙСКИЙ НАЦИОНАЛЬНЫЙ КОММЕРЧЕСКИЙ БАНК (ПАО),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rncb@rncb.ru.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pPr>
        <w:pStyle w:val="ConsPlusNormal"/>
        <w:jc w:val="both"/>
        <w:rPr>
          <w:color w:val="auto"/>
          <w:sz w:val="20"/>
          <w:szCs w:val="20"/>
        </w:rPr>
      </w:pPr>
      <w:r>
        <w:rPr>
          <w:color w:val="auto" w:themeShade="bf"/>
          <w:sz w:val="20"/>
          <w:szCs w:val="20"/>
        </w:rPr>
        <w:t>11.9. 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участником(-ами), и на основании документов, предоставленных застройщиком/Бенефициаром в соответствии с Общими условиями. Настоящим застройщик поручает участнику(-ам) предоставить Эскроу-агенту документы, указанные в Общих условиях, для внесения изменений в Договор Эскроу.</w:t>
      </w:r>
    </w:p>
    <w:p>
      <w:pPr>
        <w:pStyle w:val="ConsPlusNormal"/>
        <w:jc w:val="both"/>
        <w:rPr>
          <w:color w:val="auto"/>
          <w:sz w:val="20"/>
          <w:szCs w:val="20"/>
        </w:rPr>
      </w:pPr>
      <w:r>
        <w:rPr>
          <w:color w:val="auto"/>
          <w:sz w:val="20"/>
          <w:szCs w:val="20"/>
        </w:rPr>
      </w:r>
    </w:p>
    <w:p>
      <w:pPr>
        <w:pStyle w:val="ConsPlusNormal"/>
        <w:numPr>
          <w:ilvl w:val="0"/>
          <w:numId w:val="0"/>
        </w:numPr>
        <w:ind w:left="0" w:hanging="0"/>
        <w:jc w:val="center"/>
        <w:outlineLvl w:val="0"/>
        <w:rPr>
          <w:color w:val="auto"/>
        </w:rPr>
      </w:pPr>
      <w:r>
        <w:rPr>
          <w:b/>
          <w:color w:val="auto"/>
          <w:sz w:val="20"/>
          <w:szCs w:val="20"/>
        </w:rPr>
        <w:t>12. АДРЕСА И ПЛАТЕЖНЫЕ РЕКВИЗИТЫ СТОРОН</w:t>
      </w:r>
    </w:p>
    <w:p>
      <w:pPr>
        <w:pStyle w:val="ConsPlusNormal"/>
        <w:numPr>
          <w:ilvl w:val="0"/>
          <w:numId w:val="0"/>
        </w:numPr>
        <w:ind w:left="0" w:hanging="0"/>
        <w:jc w:val="center"/>
        <w:outlineLvl w:val="0"/>
        <w:rPr>
          <w:b/>
          <w:b/>
          <w:color w:val="auto"/>
          <w:sz w:val="23"/>
          <w:szCs w:val="23"/>
        </w:rPr>
      </w:pPr>
      <w:r>
        <w:rPr>
          <w:b/>
          <w:color w:val="auto"/>
          <w:sz w:val="23"/>
          <w:szCs w:val="23"/>
        </w:rPr>
      </w:r>
    </w:p>
    <w:tbl>
      <w:tblPr>
        <w:tblStyle w:val="a5"/>
        <w:tblW w:w="101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8"/>
        <w:gridCol w:w="5098"/>
      </w:tblGrid>
      <w:tr>
        <w:trPr>
          <w:trHeight w:val="4872" w:hRule="atLeast"/>
        </w:trPr>
        <w:tc>
          <w:tcPr>
            <w:tcW w:w="5098" w:type="dxa"/>
            <w:tcBorders/>
          </w:tcPr>
          <w:p>
            <w:pPr>
              <w:pStyle w:val="ConsPlusNonformat"/>
              <w:widowControl w:val="false"/>
              <w:suppressAutoHyphens w:val="true"/>
              <w:spacing w:before="0" w:after="0"/>
              <w:contextualSpacing/>
              <w:jc w:val="both"/>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 xml:space="preserve">Застройщик:     </w:t>
            </w:r>
          </w:p>
          <w:p>
            <w:pPr>
              <w:pStyle w:val="ConsPlusNonformat"/>
              <w:widowControl w:val="false"/>
              <w:suppressAutoHyphens w:val="true"/>
              <w:spacing w:before="0" w:after="0"/>
              <w:contextualSpacing/>
              <w:jc w:val="both"/>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 xml:space="preserve">Общество с ограниченной ответственностью «Специализированный застройщик "ГРИН СИТИ" </w:t>
            </w:r>
          </w:p>
          <w:p>
            <w:pPr>
              <w:pStyle w:val="ConsPlusNonformat"/>
              <w:widowControl w:val="false"/>
              <w:suppressAutoHyphens w:val="true"/>
              <w:spacing w:before="0" w:after="0"/>
              <w:contextualSpacing/>
              <w:jc w:val="both"/>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 xml:space="preserve">Юридический/почтовый адрес: </w:t>
            </w:r>
          </w:p>
          <w:p>
            <w:pPr>
              <w:pStyle w:val="ConsPlusNonformat"/>
              <w:widowControl w:val="false"/>
              <w:suppressAutoHyphens w:val="true"/>
              <w:spacing w:before="0" w:after="0"/>
              <w:contextualSpacing/>
              <w:jc w:val="both"/>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 xml:space="preserve">298637, Республика Крым, г.о. Ялта, г Ялта, ул Красных Партизан, д. 14, офис 16-13      </w:t>
              <w:tab/>
            </w:r>
          </w:p>
          <w:p>
            <w:pPr>
              <w:pStyle w:val="ConsPlusNonformat"/>
              <w:widowControl w:val="false"/>
              <w:suppressAutoHyphens w:val="true"/>
              <w:spacing w:before="0" w:after="0"/>
              <w:contextualSpacing/>
              <w:jc w:val="both"/>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 xml:space="preserve">ИНН/КПП 9102055037/910301001   </w:t>
              <w:tab/>
            </w:r>
          </w:p>
          <w:p>
            <w:pPr>
              <w:pStyle w:val="ConsPlusNonformat"/>
              <w:widowControl w:val="false"/>
              <w:suppressAutoHyphens w:val="true"/>
              <w:spacing w:before="0" w:after="0"/>
              <w:contextualSpacing/>
              <w:jc w:val="both"/>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 xml:space="preserve">ОГРН 1149102114897 </w:t>
            </w:r>
          </w:p>
          <w:p>
            <w:pPr>
              <w:pStyle w:val="ConsPlusNonformat"/>
              <w:widowControl w:val="false"/>
              <w:suppressAutoHyphens w:val="true"/>
              <w:spacing w:before="0" w:after="0"/>
              <w:contextualSpacing/>
              <w:jc w:val="both"/>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 xml:space="preserve">Телефон: +7(978) 026-72-16 </w:t>
              <w:tab/>
              <w:tab/>
              <w:tab/>
              <w:t xml:space="preserve">     </w:t>
            </w:r>
          </w:p>
          <w:p>
            <w:pPr>
              <w:pStyle w:val="ConsPlusNonformat"/>
              <w:widowControl w:val="false"/>
              <w:suppressAutoHyphens w:val="true"/>
              <w:spacing w:before="0" w:after="0"/>
              <w:contextualSpacing/>
              <w:jc w:val="both"/>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 xml:space="preserve">Адрес электронной почты: urist@cr-n.ru     </w:t>
            </w:r>
          </w:p>
          <w:p>
            <w:pPr>
              <w:pStyle w:val="ConsPlusNonformat"/>
              <w:widowControl w:val="false"/>
              <w:suppressAutoHyphens w:val="true"/>
              <w:spacing w:before="0" w:after="0"/>
              <w:contextualSpacing/>
              <w:jc w:val="both"/>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Банковские реквизиты:</w:t>
            </w:r>
          </w:p>
          <w:p>
            <w:pPr>
              <w:pStyle w:val="ConsPlusNonformat"/>
              <w:widowControl w:val="false"/>
              <w:suppressAutoHyphens w:val="true"/>
              <w:spacing w:before="0" w:after="0"/>
              <w:contextualSpacing/>
              <w:jc w:val="both"/>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р/с 40702810640010000387</w:t>
            </w:r>
          </w:p>
          <w:p>
            <w:pPr>
              <w:pStyle w:val="ConsPlusNonformat"/>
              <w:widowControl w:val="false"/>
              <w:suppressAutoHyphens w:val="true"/>
              <w:spacing w:before="0" w:after="0"/>
              <w:contextualSpacing/>
              <w:jc w:val="both"/>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РНКБ ПАО</w:t>
            </w:r>
          </w:p>
          <w:p>
            <w:pPr>
              <w:pStyle w:val="ConsPlusNonformat"/>
              <w:widowControl w:val="false"/>
              <w:suppressAutoHyphens w:val="true"/>
              <w:spacing w:before="0" w:after="0"/>
              <w:contextualSpacing/>
              <w:jc w:val="both"/>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БИК 043510607</w:t>
            </w:r>
          </w:p>
          <w:p>
            <w:pPr>
              <w:pStyle w:val="ConsPlusNonformat"/>
              <w:widowControl w:val="false"/>
              <w:suppressAutoHyphens w:val="true"/>
              <w:spacing w:before="0" w:after="0"/>
              <w:contextualSpacing/>
              <w:jc w:val="both"/>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к/с 30101810335100000607 в</w:t>
            </w:r>
          </w:p>
          <w:p>
            <w:pPr>
              <w:pStyle w:val="ConsPlusNonformat"/>
              <w:widowControl w:val="false"/>
              <w:suppressAutoHyphens w:val="true"/>
              <w:spacing w:before="0" w:after="0"/>
              <w:contextualSpacing/>
              <w:jc w:val="both"/>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РНКБ БАНК (ПАО)</w:t>
            </w:r>
          </w:p>
          <w:p>
            <w:pPr>
              <w:pStyle w:val="ConsPlusNormal"/>
              <w:widowControl w:val="false"/>
              <w:numPr>
                <w:ilvl w:val="0"/>
                <w:numId w:val="0"/>
              </w:numPr>
              <w:suppressAutoHyphens w:val="true"/>
              <w:spacing w:before="0" w:after="0"/>
              <w:ind w:left="0" w:hanging="0"/>
              <w:jc w:val="left"/>
              <w:outlineLvl w:val="0"/>
              <w:rPr>
                <w:b/>
                <w:b/>
                <w:color w:val="auto"/>
                <w:kern w:val="0"/>
                <w:sz w:val="23"/>
                <w:szCs w:val="23"/>
                <w:lang w:val="ru-RU" w:bidi="ar-SA"/>
              </w:rPr>
            </w:pPr>
            <w:r>
              <w:rPr>
                <w:b/>
                <w:color w:val="auto"/>
                <w:kern w:val="0"/>
                <w:sz w:val="23"/>
                <w:szCs w:val="23"/>
                <w:lang w:val="ru-RU" w:bidi="ar-SA"/>
              </w:rPr>
            </w:r>
          </w:p>
        </w:tc>
        <w:tc>
          <w:tcPr>
            <w:tcW w:w="5098" w:type="dxa"/>
            <w:tcBorders/>
          </w:tcPr>
          <w:p>
            <w:pPr>
              <w:pStyle w:val="ConsPlusNormal"/>
              <w:widowControl w:val="false"/>
              <w:numPr>
                <w:ilvl w:val="0"/>
                <w:numId w:val="0"/>
              </w:numPr>
              <w:suppressAutoHyphens w:val="true"/>
              <w:spacing w:before="0" w:after="0"/>
              <w:ind w:left="0" w:hanging="0"/>
              <w:jc w:val="left"/>
              <w:outlineLvl w:val="0"/>
              <w:rPr>
                <w:b/>
                <w:b/>
                <w:color w:val="auto"/>
                <w:kern w:val="0"/>
                <w:sz w:val="23"/>
                <w:szCs w:val="23"/>
                <w:lang w:val="ru-RU" w:bidi="ar-SA"/>
              </w:rPr>
            </w:pPr>
            <w:r>
              <w:rPr>
                <w:b/>
                <w:color w:val="auto"/>
                <w:kern w:val="0"/>
                <w:sz w:val="23"/>
                <w:szCs w:val="23"/>
                <w:lang w:val="ru-RU" w:bidi="ar-SA"/>
              </w:rPr>
              <w:t>Участник долевого строительства:</w:t>
            </w:r>
          </w:p>
          <w:p>
            <w:pPr>
              <w:pStyle w:val="ConsPlusNormal"/>
              <w:widowControl w:val="false"/>
              <w:numPr>
                <w:ilvl w:val="0"/>
                <w:numId w:val="0"/>
              </w:numPr>
              <w:suppressAutoHyphens w:val="true"/>
              <w:spacing w:before="0" w:after="0"/>
              <w:ind w:left="0" w:hanging="0"/>
              <w:jc w:val="left"/>
              <w:outlineLvl w:val="0"/>
              <w:rPr>
                <w:color w:val="auto"/>
                <w:kern w:val="0"/>
                <w:sz w:val="23"/>
                <w:szCs w:val="23"/>
                <w:lang w:val="ru-RU" w:bidi="ar-SA"/>
              </w:rPr>
            </w:pPr>
            <w:r>
              <w:rPr>
                <w:color w:val="auto"/>
                <w:kern w:val="0"/>
                <w:sz w:val="23"/>
                <w:szCs w:val="23"/>
                <w:lang w:val="ru-RU" w:bidi="ar-SA"/>
              </w:rPr>
            </w:r>
          </w:p>
        </w:tc>
      </w:tr>
    </w:tbl>
    <w:p>
      <w:pPr>
        <w:pStyle w:val="ConsPlusNonformat"/>
        <w:jc w:val="center"/>
        <w:rPr>
          <w:color w:val="auto"/>
        </w:rPr>
      </w:pPr>
      <w:r>
        <w:rPr>
          <w:rFonts w:cs="Times New Roman" w:ascii="Times New Roman" w:hAnsi="Times New Roman"/>
          <w:b/>
          <w:color w:val="auto"/>
          <w:sz w:val="23"/>
          <w:szCs w:val="23"/>
        </w:rPr>
        <w:t>ПОДПИСИ СТОРОН:</w:t>
      </w:r>
    </w:p>
    <w:p>
      <w:pPr>
        <w:pStyle w:val="ConsPlusNonformat"/>
        <w:jc w:val="both"/>
        <w:rPr>
          <w:color w:val="auto"/>
        </w:rPr>
      </w:pPr>
      <w:r>
        <w:rPr>
          <w:rFonts w:cs="Times New Roman" w:ascii="Times New Roman" w:hAnsi="Times New Roman"/>
          <w:color w:val="auto"/>
          <w:sz w:val="23"/>
          <w:szCs w:val="23"/>
        </w:rPr>
        <w:t xml:space="preserve">Застройщик:                             </w:t>
        <w:tab/>
        <w:tab/>
        <w:tab/>
        <w:t xml:space="preserve"> Участник долевого строительства:</w:t>
      </w:r>
    </w:p>
    <w:p>
      <w:pPr>
        <w:pStyle w:val="ConsPlusNonformat"/>
        <w:jc w:val="both"/>
        <w:rPr>
          <w:color w:val="auto"/>
        </w:rPr>
      </w:pPr>
      <w:r>
        <w:rPr>
          <w:rFonts w:cs="Times New Roman" w:ascii="Times New Roman" w:hAnsi="Times New Roman"/>
          <w:color w:val="auto"/>
          <w:sz w:val="23"/>
          <w:szCs w:val="23"/>
        </w:rPr>
        <w:t xml:space="preserve">____________/_____________              </w:t>
        <w:tab/>
        <w:tab/>
        <w:t xml:space="preserve"> ____________/_________________</w:t>
      </w:r>
    </w:p>
    <w:p>
      <w:pPr>
        <w:pStyle w:val="ConsPlusNonformat"/>
        <w:jc w:val="both"/>
        <w:rPr>
          <w:color w:val="auto"/>
        </w:rPr>
      </w:pPr>
      <w:r>
        <w:rPr>
          <w:rFonts w:cs="Times New Roman" w:ascii="Times New Roman" w:hAnsi="Times New Roman"/>
          <w:color w:val="auto"/>
          <w:sz w:val="23"/>
          <w:szCs w:val="23"/>
        </w:rPr>
        <w:t xml:space="preserve">  </w:t>
      </w:r>
      <w:r>
        <w:rPr>
          <w:rFonts w:cs="Times New Roman" w:ascii="Times New Roman" w:hAnsi="Times New Roman"/>
          <w:color w:val="auto"/>
          <w:sz w:val="23"/>
          <w:szCs w:val="23"/>
        </w:rPr>
        <w:t xml:space="preserve">(Ф.И.О.)     (подпись)                  </w:t>
        <w:tab/>
        <w:tab/>
        <w:tab/>
        <w:t>(Ф.И.О.)       (подпись)</w:t>
      </w:r>
    </w:p>
    <w:p>
      <w:pPr>
        <w:pStyle w:val="ConsPlusNonformat"/>
        <w:jc w:val="both"/>
        <w:rPr>
          <w:rFonts w:ascii="Times New Roman" w:hAnsi="Times New Roman" w:cs="Times New Roman"/>
          <w:color w:val="auto"/>
          <w:sz w:val="23"/>
          <w:szCs w:val="23"/>
        </w:rPr>
      </w:pPr>
      <w:r>
        <w:rPr>
          <w:rFonts w:cs="Times New Roman" w:ascii="Times New Roman" w:hAnsi="Times New Roman"/>
          <w:color w:val="auto"/>
          <w:sz w:val="23"/>
          <w:szCs w:val="23"/>
        </w:rPr>
      </w:r>
    </w:p>
    <w:p>
      <w:pPr>
        <w:pStyle w:val="ConsPlusNonformat"/>
        <w:jc w:val="both"/>
        <w:rPr>
          <w:color w:val="auto"/>
        </w:rPr>
      </w:pPr>
      <w:r>
        <w:rPr>
          <w:rFonts w:cs="Times New Roman" w:ascii="Times New Roman" w:hAnsi="Times New Roman"/>
          <w:color w:val="auto"/>
          <w:sz w:val="23"/>
          <w:szCs w:val="23"/>
        </w:rPr>
        <w:t xml:space="preserve">       </w:t>
      </w:r>
      <w:r>
        <w:rPr>
          <w:rFonts w:cs="Times New Roman" w:ascii="Times New Roman" w:hAnsi="Times New Roman"/>
          <w:color w:val="auto"/>
          <w:sz w:val="23"/>
          <w:szCs w:val="23"/>
        </w:rPr>
        <w:t>(М.П.)</w:t>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right"/>
        <w:rPr>
          <w:color w:val="auto"/>
        </w:rPr>
      </w:pPr>
      <w:r>
        <w:rPr>
          <w:b/>
          <w:color w:val="auto"/>
          <w:sz w:val="23"/>
          <w:szCs w:val="23"/>
        </w:rPr>
        <w:t xml:space="preserve">Приложение № 1 </w:t>
      </w:r>
    </w:p>
    <w:p>
      <w:pPr>
        <w:pStyle w:val="ConsPlusNormal"/>
        <w:ind w:firstLine="540"/>
        <w:jc w:val="right"/>
        <w:rPr>
          <w:color w:val="auto"/>
        </w:rPr>
      </w:pPr>
      <w:r>
        <w:rPr>
          <w:b/>
          <w:color w:val="auto"/>
          <w:sz w:val="23"/>
          <w:szCs w:val="23"/>
        </w:rPr>
        <w:t xml:space="preserve">к Договору № </w:t>
      </w:r>
    </w:p>
    <w:p>
      <w:pPr>
        <w:pStyle w:val="ConsPlusNormal"/>
        <w:jc w:val="right"/>
        <w:rPr>
          <w:color w:val="auto"/>
        </w:rPr>
      </w:pPr>
      <w:r>
        <w:rPr>
          <w:b/>
          <w:color w:val="auto"/>
          <w:sz w:val="23"/>
          <w:szCs w:val="23"/>
        </w:rPr>
        <w:t>участия в долевом строительстве нежилого здания от _______________202</w:t>
      </w:r>
      <w:r>
        <w:rPr>
          <w:rFonts w:eastAsia="Times New Roman" w:cs="Times New Roman"/>
          <w:b/>
          <w:color w:val="auto"/>
          <w:sz w:val="23"/>
          <w:szCs w:val="23"/>
          <w:lang w:eastAsia="ru-RU"/>
        </w:rPr>
        <w:t>2</w:t>
      </w:r>
      <w:r>
        <w:rPr>
          <w:b/>
          <w:color w:val="auto"/>
          <w:sz w:val="23"/>
          <w:szCs w:val="23"/>
        </w:rPr>
        <w:t xml:space="preserve"> года</w:t>
      </w:r>
    </w:p>
    <w:p>
      <w:pPr>
        <w:pStyle w:val="ConsPlusNormal"/>
        <w:ind w:firstLine="540"/>
        <w:jc w:val="right"/>
        <w:rPr>
          <w:color w:val="auto"/>
          <w:sz w:val="23"/>
          <w:szCs w:val="23"/>
        </w:rPr>
      </w:pPr>
      <w:r>
        <w:rPr>
          <w:color w:val="auto"/>
          <w:sz w:val="23"/>
          <w:szCs w:val="23"/>
        </w:rPr>
      </w:r>
    </w:p>
    <w:p>
      <w:pPr>
        <w:pStyle w:val="ConsPlusNormal"/>
        <w:numPr>
          <w:ilvl w:val="0"/>
          <w:numId w:val="1"/>
        </w:numPr>
        <w:jc w:val="both"/>
        <w:rPr>
          <w:color w:val="auto"/>
        </w:rPr>
      </w:pPr>
      <w:r>
        <w:rPr>
          <w:color w:val="auto"/>
          <w:sz w:val="23"/>
          <w:szCs w:val="23"/>
        </w:rPr>
        <w:t>Размещение квартиры на этаже:</w:t>
      </w:r>
    </w:p>
    <w:p>
      <w:pPr>
        <w:pStyle w:val="ConsPlusNormal"/>
        <w:ind w:firstLine="540"/>
        <w:jc w:val="both"/>
        <w:rPr>
          <w:color w:val="auto"/>
          <w:sz w:val="23"/>
          <w:szCs w:val="23"/>
        </w:rPr>
      </w:pPr>
      <w:r>
        <w:rPr>
          <w:color w:val="auto"/>
          <w:sz w:val="23"/>
          <w:szCs w:val="23"/>
        </w:rPr>
      </w:r>
    </w:p>
    <w:p>
      <w:pPr>
        <w:pStyle w:val="ConsPlusNormal"/>
        <w:ind w:left="900" w:hanging="0"/>
        <w:jc w:val="both"/>
        <w:rPr>
          <w:color w:val="auto"/>
          <w:sz w:val="23"/>
          <w:szCs w:val="23"/>
        </w:rPr>
      </w:pPr>
      <w:r>
        <w:rPr>
          <w:color w:val="auto"/>
          <w:sz w:val="23"/>
          <w:szCs w:val="23"/>
        </w:rPr>
      </w:r>
    </w:p>
    <w:p>
      <w:pPr>
        <w:pStyle w:val="ConsPlusNormal"/>
        <w:ind w:left="900" w:hanging="0"/>
        <w:jc w:val="both"/>
        <w:rPr>
          <w:color w:val="auto"/>
          <w:sz w:val="23"/>
          <w:szCs w:val="23"/>
        </w:rPr>
      </w:pPr>
      <w:r>
        <w:rPr>
          <w:color w:val="auto"/>
          <w:sz w:val="23"/>
          <w:szCs w:val="23"/>
        </w:rPr>
      </w:r>
    </w:p>
    <w:p>
      <w:pPr>
        <w:pStyle w:val="ConsPlusNormal"/>
        <w:numPr>
          <w:ilvl w:val="0"/>
          <w:numId w:val="1"/>
        </w:numPr>
        <w:jc w:val="both"/>
        <w:rPr>
          <w:color w:val="auto"/>
        </w:rPr>
      </w:pPr>
      <w:r>
        <w:rPr>
          <w:color w:val="auto"/>
          <w:sz w:val="23"/>
          <w:szCs w:val="23"/>
        </w:rPr>
        <w:t>Конфигурация квартиры:</w:t>
      </w:r>
    </w:p>
    <w:p>
      <w:pPr>
        <w:pStyle w:val="ConsPlusNormal"/>
        <w:ind w:firstLine="540"/>
        <w:jc w:val="both"/>
        <w:rPr>
          <w:color w:val="auto"/>
          <w:sz w:val="23"/>
          <w:szCs w:val="23"/>
        </w:rPr>
      </w:pPr>
      <w:r>
        <w:rPr>
          <w:color w:val="auto"/>
          <w:sz w:val="23"/>
          <w:szCs w:val="23"/>
        </w:rPr>
      </w:r>
    </w:p>
    <w:p>
      <w:pPr>
        <w:pStyle w:val="ConsPlusNormal"/>
        <w:ind w:firstLine="1276"/>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nformat"/>
        <w:jc w:val="center"/>
        <w:rPr>
          <w:color w:val="auto"/>
        </w:rPr>
      </w:pPr>
      <w:r>
        <w:rPr>
          <w:rFonts w:cs="Times New Roman" w:ascii="Times New Roman" w:hAnsi="Times New Roman"/>
          <w:b/>
          <w:color w:val="auto"/>
          <w:sz w:val="23"/>
          <w:szCs w:val="23"/>
        </w:rPr>
        <w:t>ПОДПИСИ СТОРОН:</w:t>
      </w:r>
    </w:p>
    <w:p>
      <w:pPr>
        <w:pStyle w:val="ConsPlusNonformat"/>
        <w:jc w:val="center"/>
        <w:rPr>
          <w:rFonts w:ascii="Times New Roman" w:hAnsi="Times New Roman" w:cs="Times New Roman"/>
          <w:b/>
          <w:b/>
          <w:color w:val="auto"/>
          <w:sz w:val="23"/>
          <w:szCs w:val="23"/>
        </w:rPr>
      </w:pPr>
      <w:r>
        <w:rPr>
          <w:rFonts w:cs="Times New Roman" w:ascii="Times New Roman" w:hAnsi="Times New Roman"/>
          <w:b/>
          <w:color w:val="auto"/>
          <w:sz w:val="23"/>
          <w:szCs w:val="23"/>
        </w:rPr>
      </w:r>
    </w:p>
    <w:p>
      <w:pPr>
        <w:pStyle w:val="ConsPlusNonformat"/>
        <w:jc w:val="both"/>
        <w:rPr>
          <w:color w:val="auto"/>
        </w:rPr>
      </w:pPr>
      <w:r>
        <w:rPr>
          <w:rFonts w:cs="Times New Roman" w:ascii="Times New Roman" w:hAnsi="Times New Roman"/>
          <w:color w:val="auto"/>
          <w:sz w:val="23"/>
          <w:szCs w:val="23"/>
        </w:rPr>
        <w:t xml:space="preserve">Застройщик:                             </w:t>
        <w:tab/>
        <w:tab/>
        <w:tab/>
        <w:t xml:space="preserve"> Участник долевого строительства:</w:t>
      </w:r>
    </w:p>
    <w:p>
      <w:pPr>
        <w:pStyle w:val="ConsPlusNonformat"/>
        <w:jc w:val="both"/>
        <w:rPr>
          <w:color w:val="auto"/>
        </w:rPr>
      </w:pPr>
      <w:r>
        <w:rPr>
          <w:rFonts w:cs="Times New Roman" w:ascii="Times New Roman" w:hAnsi="Times New Roman"/>
          <w:color w:val="auto"/>
          <w:sz w:val="23"/>
          <w:szCs w:val="23"/>
        </w:rPr>
        <w:t xml:space="preserve">____________/_____________              </w:t>
        <w:tab/>
        <w:tab/>
        <w:t xml:space="preserve"> ____________/_________________</w:t>
      </w:r>
    </w:p>
    <w:p>
      <w:pPr>
        <w:pStyle w:val="ConsPlusNonformat"/>
        <w:jc w:val="both"/>
        <w:rPr>
          <w:color w:val="auto"/>
        </w:rPr>
      </w:pPr>
      <w:r>
        <w:rPr>
          <w:rFonts w:cs="Times New Roman" w:ascii="Times New Roman" w:hAnsi="Times New Roman"/>
          <w:color w:val="auto"/>
          <w:sz w:val="23"/>
          <w:szCs w:val="23"/>
        </w:rPr>
        <w:t xml:space="preserve">  </w:t>
      </w:r>
      <w:r>
        <w:rPr>
          <w:rFonts w:cs="Times New Roman" w:ascii="Times New Roman" w:hAnsi="Times New Roman"/>
          <w:color w:val="auto"/>
          <w:sz w:val="23"/>
          <w:szCs w:val="23"/>
        </w:rPr>
        <w:t xml:space="preserve">(Ф.И.О.)     (подпись)                  </w:t>
        <w:tab/>
        <w:tab/>
        <w:tab/>
        <w:t>(Ф.И.О.)       (подпись)</w:t>
      </w:r>
    </w:p>
    <w:p>
      <w:pPr>
        <w:pStyle w:val="ConsPlusNonformat"/>
        <w:jc w:val="both"/>
        <w:rPr>
          <w:rFonts w:ascii="Times New Roman" w:hAnsi="Times New Roman" w:cs="Times New Roman"/>
          <w:color w:val="auto"/>
          <w:sz w:val="23"/>
          <w:szCs w:val="23"/>
        </w:rPr>
      </w:pPr>
      <w:r>
        <w:rPr>
          <w:rFonts w:cs="Times New Roman" w:ascii="Times New Roman" w:hAnsi="Times New Roman"/>
          <w:color w:val="auto"/>
          <w:sz w:val="23"/>
          <w:szCs w:val="23"/>
        </w:rPr>
      </w:r>
    </w:p>
    <w:p>
      <w:pPr>
        <w:pStyle w:val="ConsPlusNonformat"/>
        <w:jc w:val="both"/>
        <w:rPr>
          <w:color w:val="auto"/>
        </w:rPr>
      </w:pPr>
      <w:r>
        <w:rPr>
          <w:rFonts w:cs="Times New Roman" w:ascii="Times New Roman" w:hAnsi="Times New Roman"/>
          <w:color w:val="auto"/>
          <w:sz w:val="23"/>
          <w:szCs w:val="23"/>
        </w:rPr>
        <w:t xml:space="preserve">       </w:t>
      </w:r>
      <w:r>
        <w:rPr>
          <w:rFonts w:cs="Times New Roman" w:ascii="Times New Roman" w:hAnsi="Times New Roman"/>
          <w:color w:val="auto"/>
          <w:sz w:val="23"/>
          <w:szCs w:val="23"/>
        </w:rPr>
        <w:t>(М.П.)</w:t>
      </w:r>
    </w:p>
    <w:p>
      <w:pPr>
        <w:pStyle w:val="Normal"/>
        <w:spacing w:before="0" w:after="160"/>
        <w:rPr>
          <w:color w:val="auto"/>
        </w:rPr>
      </w:pPr>
      <w:r>
        <w:rPr/>
      </w:r>
    </w:p>
    <w:sectPr>
      <w:footerReference w:type="default" r:id="rId13"/>
      <w:type w:val="nextPage"/>
      <w:pgSz w:w="11906" w:h="16838"/>
      <w:pgMar w:left="1133" w:right="566" w:gutter="0" w:header="0" w:top="284"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jc w:val="center"/>
      <w:rPr>
        <w:sz w:val="2"/>
        <w:szCs w:val="2"/>
      </w:rPr>
    </w:pPr>
    <w:r>
      <w:rPr>
        <w:sz w:val="2"/>
        <w:szCs w:val="2"/>
      </w:rPr>
    </w:r>
  </w:p>
  <w:p>
    <w:pPr>
      <w:pStyle w:val="ConsPlusNormal"/>
      <w:rPr>
        <w:sz w:val="2"/>
        <w:szCs w:val="2"/>
      </w:rPr>
    </w:pPr>
    <w:r>
      <w:rPr>
        <w:sz w:val="2"/>
        <w:szCs w:val="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lvl w:ilvl="0">
      <w:start w:val="3"/>
      <w:numFmt w:val="decimal"/>
      <w:lvlText w:val="%1."/>
      <w:lvlJc w:val="left"/>
      <w:pPr>
        <w:tabs>
          <w:tab w:val="num" w:pos="0"/>
        </w:tabs>
        <w:ind w:left="540" w:hanging="540"/>
      </w:pPr>
    </w:lvl>
    <w:lvl w:ilvl="1">
      <w:start w:val="4"/>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2678"/>
    <w:pPr>
      <w:widowControl/>
      <w:suppressAutoHyphens w:val="true"/>
      <w:bidi w:val="0"/>
      <w:spacing w:lineRule="auto" w:line="259" w:before="0" w:after="160"/>
      <w:jc w:val="left"/>
    </w:pPr>
    <w:rPr>
      <w:rFonts w:ascii="Calibri" w:hAnsi="Calibri" w:eastAsia="Times New Roman" w:cs="Times New Roman"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sid w:val="00302678"/>
    <w:rPr/>
  </w:style>
  <w:style w:type="character" w:styleId="Style15" w:customStyle="1">
    <w:name w:val="Нет"/>
    <w:qFormat/>
    <w:rsid w:val="00302678"/>
    <w:rPr/>
  </w:style>
  <w:style w:type="character" w:styleId="Style16" w:customStyle="1">
    <w:name w:val="Текст выноски Знак"/>
    <w:basedOn w:val="DefaultParagraphFont"/>
    <w:link w:val="a7"/>
    <w:uiPriority w:val="99"/>
    <w:semiHidden/>
    <w:qFormat/>
    <w:rsid w:val="001e521e"/>
    <w:rPr>
      <w:rFonts w:ascii="Segoe UI" w:hAnsi="Segoe UI" w:eastAsia="Times New Roman" w:cs="Segoe UI"/>
      <w:sz w:val="18"/>
      <w:szCs w:val="18"/>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ConsPlusNormal" w:customStyle="1">
    <w:name w:val="ConsPlusNormal"/>
    <w:qFormat/>
    <w:rsid w:val="00302678"/>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ConsPlusNonformat" w:customStyle="1">
    <w:name w:val="ConsPlusNonformat"/>
    <w:uiPriority w:val="99"/>
    <w:qFormat/>
    <w:rsid w:val="00302678"/>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302678"/>
    <w:pPr>
      <w:widowControl w:val="false"/>
      <w:suppressAutoHyphens w:val="true"/>
      <w:bidi w:val="0"/>
      <w:spacing w:lineRule="auto" w:line="240" w:before="0" w:after="0"/>
      <w:jc w:val="left"/>
    </w:pPr>
    <w:rPr>
      <w:rFonts w:ascii="Arial" w:hAnsi="Arial" w:eastAsia="Times New Roman" w:cs="Arial"/>
      <w:b/>
      <w:bCs/>
      <w:color w:val="auto"/>
      <w:kern w:val="0"/>
      <w:sz w:val="24"/>
      <w:szCs w:val="24"/>
      <w:lang w:val="ru-RU" w:eastAsia="ru-RU" w:bidi="ar-SA"/>
    </w:rPr>
  </w:style>
  <w:style w:type="paragraph" w:styleId="1" w:customStyle="1">
    <w:name w:val="Обычный1"/>
    <w:qFormat/>
    <w:rsid w:val="00302678"/>
    <w:pPr>
      <w:widowControl/>
      <w:suppressAutoHyphens w:val="true"/>
      <w:bidi w:val="0"/>
      <w:spacing w:lineRule="atLeast" w:line="100" w:before="0" w:after="0"/>
      <w:jc w:val="left"/>
    </w:pPr>
    <w:rPr>
      <w:rFonts w:ascii="Times New Roman" w:hAnsi="Times New Roman" w:eastAsia="SimSun" w:cs="Mangal"/>
      <w:color w:val="auto"/>
      <w:kern w:val="0"/>
      <w:sz w:val="20"/>
      <w:szCs w:val="20"/>
      <w:lang w:val="ru-RU" w:eastAsia="hi-IN" w:bidi="hi-IN"/>
    </w:rPr>
  </w:style>
  <w:style w:type="paragraph" w:styleId="NoSpacing">
    <w:name w:val="No Spacing"/>
    <w:uiPriority w:val="1"/>
    <w:qFormat/>
    <w:rsid w:val="00d1243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link w:val="a8"/>
    <w:uiPriority w:val="99"/>
    <w:semiHidden/>
    <w:unhideWhenUsed/>
    <w:qFormat/>
    <w:rsid w:val="001e521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c6854"/>
    <w:pPr>
      <w:spacing w:before="0" w:after="160"/>
      <w:ind w:left="720" w:hanging="0"/>
      <w:contextualSpacing/>
    </w:pPr>
    <w:rPr/>
  </w:style>
  <w:style w:type="paragraph" w:styleId="Style22">
    <w:name w:val="Колонтитул"/>
    <w:basedOn w:val="Normal"/>
    <w:qFormat/>
    <w:pPr/>
    <w:rPr/>
  </w:style>
  <w:style w:type="paragraph" w:styleId="Style23">
    <w:name w:val="Footer"/>
    <w:basedOn w:val="Style22"/>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39"/>
    <w:rsid w:val="00302678"/>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57145&amp;date=28.07.2020&amp;dst=100019&amp;fld=134" TargetMode="External"/><Relationship Id="rId3" Type="http://schemas.openxmlformats.org/officeDocument/2006/relationships/hyperlink" Target="https://login.consultant.ru/link/?rnd=00C1EF970E41511016CC50508FC899E7&amp;req=doc&amp;base=PAP&amp;n=63213&amp;dst=100006&amp;fld=134&amp;date=29.07.2020" TargetMode="External"/><Relationship Id="rId4" Type="http://schemas.openxmlformats.org/officeDocument/2006/relationships/hyperlink" Target="https://login.consultant.ru/link/?req=doc&amp;base=PAP&amp;n=68653&amp;date=28.07.2020" TargetMode="External"/><Relationship Id="rId5" Type="http://schemas.openxmlformats.org/officeDocument/2006/relationships/hyperlink" Target="https://login.consultant.ru/link/?rnd=00C1EF970E41511016CC50508FC899E7&amp;req=doc&amp;base=LAW&amp;n=357926&amp;REFFIELD=134&amp;REFDST=100024&amp;REFDOC=63213&amp;REFBASE=PAP&amp;stat=refcode%3D16876%3Bindex%3D38&amp;date=29.07.2020" TargetMode="External"/><Relationship Id="rId6" Type="http://schemas.openxmlformats.org/officeDocument/2006/relationships/hyperlink" Target="https://login.consultant.ru/link/?rnd=00C1EF970E41511016CC50508FC899E7&amp;req=doc&amp;base=LAW&amp;n=357145&amp;dst=100045&amp;fld=134&amp;date=29.07.2020" TargetMode="External"/><Relationship Id="rId7" Type="http://schemas.openxmlformats.org/officeDocument/2006/relationships/hyperlink" Target="https://login.consultant.ru/link/?rnd=00C1EF970E41511016CC50508FC899E7&amp;req=doc&amp;base=LAW&amp;n=357145&amp;dst=100046&amp;fld=134&amp;date=29.07.2020" TargetMode="External"/><Relationship Id="rId8" Type="http://schemas.openxmlformats.org/officeDocument/2006/relationships/hyperlink" Target="https://login.consultant.ru/link/?rnd=00C1EF970E41511016CC50508FC899E7&amp;req=doc&amp;base=LAW&amp;n=357145&amp;dst=100248&amp;fld=134&amp;date=29.07.2020" TargetMode="External"/><Relationship Id="rId9" Type="http://schemas.openxmlformats.org/officeDocument/2006/relationships/hyperlink" Target="https://login.consultant.ru/link/?req=doc&amp;base=PAP&amp;n=68653&amp;date=28.07.2020" TargetMode="External"/><Relationship Id="rId10" Type="http://schemas.openxmlformats.org/officeDocument/2006/relationships/hyperlink" Target="https://login.consultant.ru/link/?req=doc&amp;base=LAW&amp;n=357145&amp;date=28.07.2020&amp;dst=100243&amp;fld=134" TargetMode="External"/><Relationship Id="rId11" Type="http://schemas.openxmlformats.org/officeDocument/2006/relationships/hyperlink" Target="https://login.consultant.ru/link/?req=doc&amp;base=LAW&amp;n=357145&amp;date=28.07.2020&amp;dst=100262&amp;fld=134" TargetMode="External"/><Relationship Id="rId12" Type="http://schemas.openxmlformats.org/officeDocument/2006/relationships/hyperlink" Target="https://login.consultant.ru/link/?req=doc&amp;base=LAW&amp;n=357176&amp;date=28.07.2020"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LibreOffice/7.2.1.2$Windows_X86_64 LibreOffice_project/87b77fad49947c1441b67c559c339af8f3517e22</Application>
  <AppVersion>15.0000</AppVersion>
  <Pages>8</Pages>
  <Words>4654</Words>
  <Characters>33932</Characters>
  <CharactersWithSpaces>38717</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2021-12-13T12:04:00Z</dcterms:created>
  <dc:creator>User</dc:creator>
  <dc:description/>
  <dc:language>ru-RU</dc:language>
  <cp:lastModifiedBy/>
  <cp:lastPrinted>2021-03-03T08:20:00Z</cp:lastPrinted>
  <dcterms:modified xsi:type="dcterms:W3CDTF">2022-06-03T15:09:07Z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