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0092E33C"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w:t>
      </w:r>
      <w:r w:rsidR="005F2435">
        <w:rPr>
          <w:rFonts w:ascii="Times New Roman" w:hAnsi="Times New Roman"/>
          <w:b/>
          <w:sz w:val="23"/>
          <w:szCs w:val="23"/>
        </w:rPr>
        <w:t>7</w:t>
      </w:r>
      <w:r w:rsidR="00B81C41" w:rsidRPr="00E027FF">
        <w:rPr>
          <w:rFonts w:ascii="Times New Roman" w:hAnsi="Times New Roman"/>
          <w:b/>
          <w:sz w:val="23"/>
          <w:szCs w:val="23"/>
        </w:rPr>
        <w:t>/</w:t>
      </w:r>
      <w:r w:rsidR="005F2435">
        <w:rPr>
          <w:rFonts w:ascii="Times New Roman" w:hAnsi="Times New Roman"/>
          <w:b/>
          <w:sz w:val="23"/>
          <w:szCs w:val="23"/>
        </w:rPr>
        <w:t>С. ___-</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5F23ACF7"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5F2435">
        <w:rPr>
          <w:rFonts w:ascii="Times New Roman" w:hAnsi="Times New Roman"/>
          <w:sz w:val="24"/>
          <w:szCs w:val="24"/>
        </w:rPr>
        <w:t xml:space="preserve">генерального директора </w:t>
      </w:r>
      <w:proofErr w:type="spellStart"/>
      <w:r w:rsidR="005F2435">
        <w:rPr>
          <w:rFonts w:ascii="Times New Roman" w:hAnsi="Times New Roman"/>
          <w:b/>
          <w:sz w:val="24"/>
          <w:szCs w:val="24"/>
        </w:rPr>
        <w:t>Дещенко</w:t>
      </w:r>
      <w:proofErr w:type="spellEnd"/>
      <w:r w:rsidR="005F2435">
        <w:rPr>
          <w:rFonts w:ascii="Times New Roman" w:hAnsi="Times New Roman"/>
          <w:b/>
          <w:sz w:val="24"/>
          <w:szCs w:val="24"/>
        </w:rPr>
        <w:t xml:space="preserve"> Артема Евгеньевича</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1BC7CAAB" w:rsidR="005F7B74" w:rsidRPr="00E027FF" w:rsidRDefault="00FE6D7D" w:rsidP="005F2435">
      <w:pPr>
        <w:pStyle w:val="a4"/>
        <w:numPr>
          <w:ilvl w:val="1"/>
          <w:numId w:val="1"/>
        </w:numPr>
        <w:tabs>
          <w:tab w:val="left" w:pos="1134"/>
        </w:tabs>
        <w:ind w:left="0" w:firstLine="567"/>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w:t>
      </w:r>
      <w:r w:rsidR="005F2435">
        <w:rPr>
          <w:rFonts w:ascii="Times New Roman" w:hAnsi="Times New Roman"/>
          <w:sz w:val="23"/>
          <w:szCs w:val="23"/>
        </w:rPr>
        <w:t xml:space="preserve">Жилой комплекс с бизнес-центром по ул. Маковского, 55 в г. Владивостоке. </w:t>
      </w:r>
      <w:r w:rsidR="005F2435">
        <w:rPr>
          <w:rFonts w:ascii="Times New Roman" w:hAnsi="Times New Roman"/>
          <w:sz w:val="23"/>
          <w:szCs w:val="23"/>
          <w:lang w:val="en-US"/>
        </w:rPr>
        <w:t>I</w:t>
      </w:r>
      <w:r w:rsidR="005F2435">
        <w:rPr>
          <w:rFonts w:ascii="Times New Roman" w:hAnsi="Times New Roman"/>
          <w:sz w:val="23"/>
          <w:szCs w:val="23"/>
        </w:rPr>
        <w:t xml:space="preserve"> этап. Жилой дом №1. Секции 1.1 и 1.2 с подземной автостоянкой»</w:t>
      </w:r>
      <w:r w:rsidR="00253A9B">
        <w:rPr>
          <w:rFonts w:ascii="Times New Roman" w:hAnsi="Times New Roman"/>
          <w:sz w:val="23"/>
          <w:szCs w:val="23"/>
        </w:rPr>
        <w:t xml:space="preserve">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26BA7A2D"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w:t>
      </w:r>
      <w:r>
        <w:rPr>
          <w:rFonts w:ascii="Times New Roman" w:hAnsi="Times New Roman"/>
          <w:b/>
          <w:sz w:val="23"/>
          <w:szCs w:val="23"/>
          <w:highlight w:val="yellow"/>
        </w:rPr>
        <w:t>№ ___</w:t>
      </w:r>
      <w:r>
        <w:rPr>
          <w:rFonts w:ascii="Times New Roman" w:hAnsi="Times New Roman"/>
          <w:b/>
          <w:sz w:val="23"/>
          <w:szCs w:val="23"/>
        </w:rPr>
        <w:t xml:space="preserve">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5AEDEA69"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7446A4B8"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552A1A3B"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4B3D3F25"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07AC55FF"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796BCC29" w14:textId="77777777" w:rsidR="005F2435" w:rsidRDefault="005F2435" w:rsidP="005F2435">
      <w:pPr>
        <w:pStyle w:val="a4"/>
        <w:ind w:left="0" w:firstLine="567"/>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06DAF22C" w14:textId="77777777" w:rsidR="00085314" w:rsidRDefault="005F2435" w:rsidP="00085314">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r w:rsidR="00085314">
        <w:rPr>
          <w:rFonts w:ascii="Times New Roman" w:hAnsi="Times New Roman"/>
          <w:sz w:val="23"/>
          <w:szCs w:val="23"/>
        </w:rPr>
        <w:t>количество нежилых помещений (</w:t>
      </w:r>
      <w:proofErr w:type="spellStart"/>
      <w:r w:rsidR="00085314">
        <w:rPr>
          <w:rFonts w:ascii="Times New Roman" w:hAnsi="Times New Roman"/>
          <w:sz w:val="23"/>
          <w:szCs w:val="23"/>
        </w:rPr>
        <w:t>внеквартирные</w:t>
      </w:r>
      <w:proofErr w:type="spellEnd"/>
      <w:r w:rsidR="00085314">
        <w:rPr>
          <w:rFonts w:ascii="Times New Roman" w:hAnsi="Times New Roman"/>
          <w:sz w:val="23"/>
          <w:szCs w:val="23"/>
        </w:rPr>
        <w:t xml:space="preserve"> хозяйственные кладовые) – 392 шт.; количество нежилых помещений – 19 шт.; количество </w:t>
      </w:r>
      <w:proofErr w:type="spellStart"/>
      <w:r w:rsidR="00085314">
        <w:rPr>
          <w:rFonts w:ascii="Times New Roman" w:hAnsi="Times New Roman"/>
          <w:sz w:val="23"/>
          <w:szCs w:val="23"/>
        </w:rPr>
        <w:t>машино</w:t>
      </w:r>
      <w:proofErr w:type="spellEnd"/>
      <w:r w:rsidR="00085314">
        <w:rPr>
          <w:rFonts w:ascii="Times New Roman" w:hAnsi="Times New Roman"/>
          <w:sz w:val="23"/>
          <w:szCs w:val="23"/>
        </w:rPr>
        <w:t>-мест - 599  шт.</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bookmarkStart w:id="0" w:name="_GoBack"/>
      <w:bookmarkEnd w:id="0"/>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62AA2085"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5F2435">
        <w:rPr>
          <w:rFonts w:ascii="Times New Roman" w:hAnsi="Times New Roman"/>
          <w:b/>
          <w:sz w:val="23"/>
          <w:szCs w:val="23"/>
        </w:rPr>
        <w:t xml:space="preserve">в секции </w:t>
      </w:r>
      <w:r w:rsidR="005F2435">
        <w:rPr>
          <w:rFonts w:ascii="Times New Roman" w:hAnsi="Times New Roman"/>
          <w:b/>
          <w:sz w:val="23"/>
          <w:szCs w:val="23"/>
          <w:highlight w:val="yellow"/>
        </w:rPr>
        <w:t>№ ___</w:t>
      </w:r>
      <w:r w:rsidR="005F2435">
        <w:rPr>
          <w:rFonts w:ascii="Times New Roman" w:hAnsi="Times New Roman"/>
          <w:b/>
          <w:sz w:val="23"/>
          <w:szCs w:val="23"/>
        </w:rPr>
        <w:t xml:space="preserve"> </w:t>
      </w:r>
      <w:r w:rsidR="005F2435">
        <w:rPr>
          <w:rFonts w:ascii="Times New Roman" w:hAnsi="Times New Roman"/>
          <w:b/>
          <w:sz w:val="23"/>
          <w:szCs w:val="23"/>
          <w:lang w:val="en-US"/>
        </w:rPr>
        <w:t>I</w:t>
      </w:r>
      <w:r w:rsidR="005F2435">
        <w:rPr>
          <w:rFonts w:ascii="Times New Roman" w:hAnsi="Times New Roman"/>
          <w:b/>
          <w:sz w:val="23"/>
          <w:szCs w:val="23"/>
        </w:rPr>
        <w:t xml:space="preserve"> этап. Жилой дом №1. Секции 1.1 и 1.2 с подземной автостоянкой</w:t>
      </w:r>
      <w:r w:rsidRPr="00047DFA">
        <w:rPr>
          <w:rFonts w:ascii="Times New Roman" w:hAnsi="Times New Roman"/>
          <w:b/>
          <w:sz w:val="23"/>
          <w:szCs w:val="23"/>
        </w:rPr>
        <w:t>,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1"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1"/>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092201A7" w14:textId="77777777" w:rsidR="005F2435" w:rsidRDefault="00B86AC2" w:rsidP="005F2435">
      <w:pPr>
        <w:pStyle w:val="a4"/>
        <w:numPr>
          <w:ilvl w:val="1"/>
          <w:numId w:val="6"/>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5F2435">
        <w:rPr>
          <w:rFonts w:ascii="Times New Roman" w:hAnsi="Times New Roman"/>
          <w:b/>
          <w:sz w:val="23"/>
          <w:szCs w:val="23"/>
        </w:rPr>
        <w:t>не позднее 01 июля 2025 г.</w:t>
      </w:r>
    </w:p>
    <w:p w14:paraId="448B26B8" w14:textId="023245F8" w:rsidR="00B87B27" w:rsidRPr="005F2435" w:rsidRDefault="00B87B27" w:rsidP="005F2435">
      <w:pPr>
        <w:pStyle w:val="a4"/>
        <w:numPr>
          <w:ilvl w:val="1"/>
          <w:numId w:val="6"/>
        </w:numPr>
        <w:tabs>
          <w:tab w:val="left" w:pos="851"/>
        </w:tabs>
        <w:spacing w:after="0"/>
        <w:ind w:left="0" w:firstLine="567"/>
        <w:jc w:val="both"/>
        <w:rPr>
          <w:rFonts w:ascii="Times New Roman" w:hAnsi="Times New Roman"/>
          <w:sz w:val="23"/>
          <w:szCs w:val="23"/>
        </w:rPr>
      </w:pPr>
      <w:r w:rsidRPr="005F2435">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F2435">
      <w:pPr>
        <w:pStyle w:val="a4"/>
        <w:numPr>
          <w:ilvl w:val="1"/>
          <w:numId w:val="6"/>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F2435">
      <w:pPr>
        <w:pStyle w:val="a4"/>
        <w:numPr>
          <w:ilvl w:val="1"/>
          <w:numId w:val="6"/>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F2435">
      <w:pPr>
        <w:pStyle w:val="a4"/>
        <w:numPr>
          <w:ilvl w:val="1"/>
          <w:numId w:val="6"/>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F2435">
      <w:pPr>
        <w:pStyle w:val="a4"/>
        <w:numPr>
          <w:ilvl w:val="1"/>
          <w:numId w:val="6"/>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F2435">
      <w:pPr>
        <w:pStyle w:val="a4"/>
        <w:numPr>
          <w:ilvl w:val="1"/>
          <w:numId w:val="6"/>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F2435">
      <w:pPr>
        <w:pStyle w:val="a4"/>
        <w:numPr>
          <w:ilvl w:val="0"/>
          <w:numId w:val="6"/>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2"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2"/>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3"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3"/>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384CCEC"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4"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4"/>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1BA29FF5" w14:textId="77777777" w:rsidR="005F2435" w:rsidRDefault="005F2435" w:rsidP="005F2435">
      <w:pPr>
        <w:tabs>
          <w:tab w:val="left" w:pos="142"/>
        </w:tabs>
        <w:spacing w:after="0"/>
        <w:rPr>
          <w:rFonts w:ascii="Times New Roman" w:hAnsi="Times New Roman"/>
          <w:sz w:val="23"/>
          <w:szCs w:val="23"/>
        </w:rPr>
      </w:pPr>
      <w:r>
        <w:rPr>
          <w:rFonts w:ascii="Times New Roman" w:hAnsi="Times New Roman"/>
          <w:sz w:val="23"/>
          <w:szCs w:val="23"/>
        </w:rPr>
        <w:t xml:space="preserve">Генеральный директор   ______________________________________ /А.Е. </w:t>
      </w:r>
      <w:proofErr w:type="spellStart"/>
      <w:r>
        <w:rPr>
          <w:rFonts w:ascii="Times New Roman" w:hAnsi="Times New Roman"/>
          <w:sz w:val="23"/>
          <w:szCs w:val="23"/>
        </w:rPr>
        <w:t>Дещенко</w:t>
      </w:r>
      <w:proofErr w:type="spellEnd"/>
      <w:r>
        <w:rPr>
          <w:rFonts w:ascii="Times New Roman" w:hAnsi="Times New Roman"/>
          <w:sz w:val="23"/>
          <w:szCs w:val="23"/>
        </w:rPr>
        <w:t xml:space="preserve"> /</w:t>
      </w:r>
    </w:p>
    <w:p w14:paraId="74C8B167" w14:textId="77777777" w:rsidR="00253A9B" w:rsidRDefault="00253A9B" w:rsidP="00253A9B">
      <w:pPr>
        <w:tabs>
          <w:tab w:val="left" w:pos="142"/>
        </w:tabs>
        <w:spacing w:after="0"/>
        <w:rPr>
          <w:rFonts w:ascii="Times New Roman" w:hAnsi="Times New Roman"/>
          <w:sz w:val="23"/>
          <w:szCs w:val="23"/>
        </w:rPr>
      </w:pP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650A48EE"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w:t>
            </w:r>
            <w:r w:rsidR="005F2435">
              <w:rPr>
                <w:rFonts w:ascii="Times New Roman" w:eastAsiaTheme="minorHAnsi" w:hAnsi="Times New Roman"/>
                <w:noProof/>
                <w:sz w:val="23"/>
                <w:szCs w:val="23"/>
                <w:lang w:eastAsia="ru-RU"/>
              </w:rPr>
              <w:t>7</w:t>
            </w:r>
            <w:r>
              <w:rPr>
                <w:rFonts w:ascii="Times New Roman" w:eastAsiaTheme="minorHAnsi" w:hAnsi="Times New Roman"/>
                <w:noProof/>
                <w:sz w:val="23"/>
                <w:szCs w:val="23"/>
                <w:lang w:eastAsia="ru-RU"/>
              </w:rPr>
              <w:t>/</w:t>
            </w:r>
            <w:r w:rsidR="005F2435">
              <w:rPr>
                <w:rFonts w:ascii="Times New Roman" w:eastAsiaTheme="minorHAnsi" w:hAnsi="Times New Roman"/>
                <w:noProof/>
                <w:sz w:val="23"/>
                <w:szCs w:val="23"/>
                <w:lang w:eastAsia="ru-RU"/>
              </w:rPr>
              <w:t>С.__-</w:t>
            </w:r>
            <w:r>
              <w:rPr>
                <w:rFonts w:ascii="Times New Roman" w:eastAsiaTheme="minorHAnsi" w:hAnsi="Times New Roman"/>
                <w:noProof/>
                <w:sz w:val="23"/>
                <w:szCs w:val="23"/>
                <w:lang w:eastAsia="ru-RU"/>
              </w:rPr>
              <w:t>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63E764BD" w14:textId="77777777" w:rsidR="005F2435" w:rsidRDefault="005F2435" w:rsidP="005F2435">
            <w:pPr>
              <w:spacing w:after="0" w:line="240" w:lineRule="auto"/>
              <w:jc w:val="both"/>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F108AEA" w14:textId="77777777" w:rsidR="005F2435" w:rsidRDefault="005F2435" w:rsidP="005F2435">
            <w:pPr>
              <w:spacing w:after="0" w:line="240" w:lineRule="auto"/>
              <w:jc w:val="both"/>
              <w:rPr>
                <w:rFonts w:ascii="Times New Roman" w:hAnsi="Times New Roman"/>
                <w:sz w:val="23"/>
                <w:szCs w:val="23"/>
              </w:rPr>
            </w:pPr>
          </w:p>
          <w:p w14:paraId="78AE0E31"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4863702D"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ООО «СЗ Ренессанс СИТИ»</w:t>
            </w:r>
          </w:p>
          <w:p w14:paraId="29D34A49" w14:textId="77777777" w:rsidR="005F2435" w:rsidRDefault="005F2435" w:rsidP="005F2435">
            <w:pPr>
              <w:spacing w:after="0" w:line="240" w:lineRule="auto"/>
              <w:jc w:val="both"/>
              <w:rPr>
                <w:rFonts w:ascii="Times New Roman" w:hAnsi="Times New Roman"/>
                <w:sz w:val="23"/>
                <w:szCs w:val="23"/>
              </w:rPr>
            </w:pPr>
          </w:p>
          <w:p w14:paraId="29D5A77D" w14:textId="77777777" w:rsidR="005F2435" w:rsidRDefault="005F2435" w:rsidP="005F2435">
            <w:pPr>
              <w:spacing w:after="0" w:line="240" w:lineRule="auto"/>
              <w:jc w:val="both"/>
              <w:rPr>
                <w:rFonts w:ascii="Times New Roman" w:hAnsi="Times New Roman"/>
                <w:sz w:val="23"/>
                <w:szCs w:val="23"/>
              </w:rPr>
            </w:pPr>
          </w:p>
          <w:p w14:paraId="51F2BFA0" w14:textId="539BEA37" w:rsidR="00253A9B" w:rsidRDefault="005F2435" w:rsidP="005F2435">
            <w:pPr>
              <w:jc w:val="both"/>
              <w:rPr>
                <w:rFonts w:ascii="Times New Roman" w:hAnsi="Times New Roman"/>
                <w:sz w:val="23"/>
                <w:szCs w:val="23"/>
              </w:rPr>
            </w:pPr>
            <w:r>
              <w:rPr>
                <w:rFonts w:ascii="Times New Roman" w:hAnsi="Times New Roman"/>
                <w:sz w:val="23"/>
                <w:szCs w:val="23"/>
              </w:rPr>
              <w:t xml:space="preserve">__________________________/А.Е. </w:t>
            </w:r>
            <w:proofErr w:type="spellStart"/>
            <w:r>
              <w:rPr>
                <w:rFonts w:ascii="Times New Roman" w:hAnsi="Times New Roman"/>
                <w:sz w:val="23"/>
                <w:szCs w:val="23"/>
              </w:rPr>
              <w:t>Дещенко</w:t>
            </w:r>
            <w:proofErr w:type="spellEnd"/>
            <w:r>
              <w:rPr>
                <w:rFonts w:ascii="Times New Roman" w:hAnsi="Times New Roman"/>
                <w:sz w:val="23"/>
                <w:szCs w:val="23"/>
              </w:rPr>
              <w:t>/</w:t>
            </w: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DE3186" w:rsidRPr="00E027FF" w14:paraId="508C89EC" w14:textId="77777777" w:rsidTr="00534506">
        <w:tc>
          <w:tcPr>
            <w:tcW w:w="5140" w:type="dxa"/>
          </w:tcPr>
          <w:p w14:paraId="5141CB82" w14:textId="21CF519C" w:rsidR="00DE3186" w:rsidRPr="00E027FF" w:rsidRDefault="00DE3186" w:rsidP="00DE3186">
            <w:pPr>
              <w:spacing w:after="0" w:line="240" w:lineRule="auto"/>
              <w:rPr>
                <w:rFonts w:ascii="Times New Roman" w:hAnsi="Times New Roman"/>
                <w:noProof/>
                <w:sz w:val="23"/>
                <w:szCs w:val="23"/>
                <w:lang w:eastAsia="ru-RU"/>
              </w:rPr>
            </w:pP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388DF1E2"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w:t>
            </w:r>
            <w:r w:rsidR="005F2435">
              <w:rPr>
                <w:rFonts w:ascii="Times New Roman" w:hAnsi="Times New Roman"/>
                <w:noProof/>
                <w:sz w:val="23"/>
                <w:szCs w:val="23"/>
                <w:lang w:eastAsia="ru-RU"/>
              </w:rPr>
              <w:t>7</w:t>
            </w:r>
            <w:r w:rsidR="0041411A">
              <w:rPr>
                <w:rFonts w:ascii="Times New Roman" w:hAnsi="Times New Roman"/>
                <w:noProof/>
                <w:sz w:val="23"/>
                <w:szCs w:val="23"/>
                <w:lang w:eastAsia="ru-RU"/>
              </w:rPr>
              <w:t>/</w:t>
            </w:r>
            <w:r w:rsidR="005F2435">
              <w:rPr>
                <w:rFonts w:ascii="Times New Roman" w:hAnsi="Times New Roman"/>
                <w:noProof/>
                <w:sz w:val="23"/>
                <w:szCs w:val="23"/>
                <w:lang w:eastAsia="ru-RU"/>
              </w:rPr>
              <w:t>С.__-</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59F005C0" w14:textId="77777777" w:rsidR="005F2435" w:rsidRDefault="005F2435" w:rsidP="005F2435">
            <w:pPr>
              <w:spacing w:after="0" w:line="240" w:lineRule="auto"/>
              <w:jc w:val="both"/>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68196FB0" w14:textId="77777777" w:rsidR="005F2435" w:rsidRDefault="005F2435" w:rsidP="005F2435">
            <w:pPr>
              <w:spacing w:after="0" w:line="240" w:lineRule="auto"/>
              <w:jc w:val="both"/>
              <w:rPr>
                <w:rFonts w:ascii="Times New Roman" w:hAnsi="Times New Roman"/>
                <w:sz w:val="23"/>
                <w:szCs w:val="23"/>
              </w:rPr>
            </w:pPr>
          </w:p>
          <w:p w14:paraId="32DEA415"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 xml:space="preserve">Генеральный директор </w:t>
            </w:r>
          </w:p>
          <w:p w14:paraId="224977BF" w14:textId="77777777" w:rsidR="005F2435" w:rsidRDefault="005F2435" w:rsidP="005F2435">
            <w:pPr>
              <w:spacing w:after="0" w:line="240" w:lineRule="auto"/>
              <w:jc w:val="both"/>
              <w:rPr>
                <w:rFonts w:ascii="Times New Roman" w:hAnsi="Times New Roman"/>
                <w:sz w:val="23"/>
                <w:szCs w:val="23"/>
              </w:rPr>
            </w:pPr>
            <w:r>
              <w:rPr>
                <w:rFonts w:ascii="Times New Roman" w:hAnsi="Times New Roman"/>
                <w:sz w:val="23"/>
                <w:szCs w:val="23"/>
              </w:rPr>
              <w:t>ООО «СЗ Ренессанс СИТИ»</w:t>
            </w:r>
          </w:p>
          <w:p w14:paraId="7783A41D" w14:textId="77777777" w:rsidR="005F2435" w:rsidRDefault="005F2435" w:rsidP="005F2435">
            <w:pPr>
              <w:spacing w:after="0" w:line="240" w:lineRule="auto"/>
              <w:jc w:val="both"/>
              <w:rPr>
                <w:rFonts w:ascii="Times New Roman" w:hAnsi="Times New Roman"/>
                <w:sz w:val="23"/>
                <w:szCs w:val="23"/>
              </w:rPr>
            </w:pPr>
          </w:p>
          <w:p w14:paraId="103BE28D" w14:textId="77777777" w:rsidR="005F2435" w:rsidRDefault="005F2435" w:rsidP="005F2435">
            <w:pPr>
              <w:spacing w:after="0" w:line="240" w:lineRule="auto"/>
              <w:jc w:val="both"/>
              <w:rPr>
                <w:rFonts w:ascii="Times New Roman" w:hAnsi="Times New Roman"/>
                <w:sz w:val="23"/>
                <w:szCs w:val="23"/>
              </w:rPr>
            </w:pPr>
          </w:p>
          <w:p w14:paraId="3663A2D2" w14:textId="0F469503" w:rsidR="002318E1" w:rsidRDefault="005F2435" w:rsidP="005F2435">
            <w:pPr>
              <w:jc w:val="both"/>
              <w:rPr>
                <w:rFonts w:ascii="Times New Roman" w:hAnsi="Times New Roman"/>
                <w:sz w:val="23"/>
                <w:szCs w:val="23"/>
              </w:rPr>
            </w:pPr>
            <w:r>
              <w:rPr>
                <w:rFonts w:ascii="Times New Roman" w:hAnsi="Times New Roman"/>
                <w:sz w:val="23"/>
                <w:szCs w:val="23"/>
              </w:rPr>
              <w:t xml:space="preserve">__________________________/А.Е. </w:t>
            </w:r>
            <w:proofErr w:type="spellStart"/>
            <w:r>
              <w:rPr>
                <w:rFonts w:ascii="Times New Roman" w:hAnsi="Times New Roman"/>
                <w:sz w:val="23"/>
                <w:szCs w:val="23"/>
              </w:rPr>
              <w:t>Дещенко</w:t>
            </w:r>
            <w:proofErr w:type="spellEnd"/>
            <w:r>
              <w:rPr>
                <w:rFonts w:ascii="Times New Roman" w:hAnsi="Times New Roman"/>
                <w:sz w:val="23"/>
                <w:szCs w:val="23"/>
              </w:rPr>
              <w:t>/</w:t>
            </w:r>
            <w:r w:rsidR="002318E1">
              <w:rPr>
                <w:rFonts w:ascii="Times New Roman" w:eastAsiaTheme="minorHAnsi" w:hAnsi="Times New Roman"/>
                <w:noProof/>
                <w:sz w:val="23"/>
                <w:szCs w:val="23"/>
                <w:lang w:eastAsia="ru-RU"/>
              </w:rPr>
              <w:t>.</w:t>
            </w:r>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888B" w14:textId="77777777" w:rsidR="00843896" w:rsidRDefault="00843896" w:rsidP="00C72D6A">
      <w:pPr>
        <w:spacing w:after="0" w:line="240" w:lineRule="auto"/>
      </w:pPr>
      <w:r>
        <w:separator/>
      </w:r>
    </w:p>
  </w:endnote>
  <w:endnote w:type="continuationSeparator" w:id="0">
    <w:p w14:paraId="75C84008" w14:textId="77777777" w:rsidR="00843896" w:rsidRDefault="00843896"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AAAA" w14:textId="77777777" w:rsidR="00843896" w:rsidRDefault="00843896" w:rsidP="00C72D6A">
      <w:pPr>
        <w:spacing w:after="0" w:line="240" w:lineRule="auto"/>
      </w:pPr>
      <w:r>
        <w:separator/>
      </w:r>
    </w:p>
  </w:footnote>
  <w:footnote w:type="continuationSeparator" w:id="0">
    <w:p w14:paraId="23D6F663" w14:textId="77777777" w:rsidR="00843896" w:rsidRDefault="00843896"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5314"/>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2435"/>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64C0"/>
    <w:rsid w:val="00B20DBE"/>
    <w:rsid w:val="00B20DCC"/>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33572363">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1046439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533304268">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671326936">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034308016">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BE3211-7814-40C5-888C-E77164F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6664</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44566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2023-05-10T00:36:00Z</dcterms:created>
  <dcterms:modified xsi:type="dcterms:W3CDTF">2023-05-10T01:14:00Z</dcterms:modified>
</cp:coreProperties>
</file>