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3448E97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2BDAE2E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7EAF7BE1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33409070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0E2A2C">
        <w:rPr>
          <w:sz w:val="22"/>
          <w:szCs w:val="22"/>
          <w:highlight w:val="yellow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22B7BB48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A530E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88EFA8C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CA530E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CA530E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6E624FDE" w14:textId="6653B0C9" w:rsidR="00CA530E" w:rsidRPr="00CA530E" w:rsidRDefault="00CA530E" w:rsidP="00CA530E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CA530E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CA530E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CA530E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CA530E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CA530E">
        <w:rPr>
          <w:sz w:val="22"/>
        </w:rPr>
        <w:t>106 972,1 м</w:t>
      </w:r>
      <w:r w:rsidRPr="00CA530E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CA530E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>строительный адрес): г. Москва, ЮАО, Москворечье-</w:t>
      </w:r>
      <w:proofErr w:type="spellStart"/>
      <w:r w:rsidRPr="00BD7010">
        <w:rPr>
          <w:sz w:val="22"/>
          <w:szCs w:val="22"/>
        </w:rPr>
        <w:t>Сабурово</w:t>
      </w:r>
      <w:proofErr w:type="spellEnd"/>
      <w:r w:rsidRPr="00BD7010">
        <w:rPr>
          <w:sz w:val="22"/>
          <w:szCs w:val="22"/>
        </w:rPr>
        <w:t xml:space="preserve">, ул. </w:t>
      </w:r>
      <w:proofErr w:type="spellStart"/>
      <w:r w:rsidRPr="00BD7010">
        <w:rPr>
          <w:sz w:val="22"/>
          <w:szCs w:val="22"/>
        </w:rPr>
        <w:t>Борисовские</w:t>
      </w:r>
      <w:proofErr w:type="spellEnd"/>
      <w:r w:rsidRPr="00BD7010">
        <w:rPr>
          <w:sz w:val="22"/>
          <w:szCs w:val="22"/>
        </w:rPr>
        <w:t xml:space="preserve">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CA530E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CA530E">
        <w:rPr>
          <w:color w:val="000000"/>
          <w:sz w:val="22"/>
        </w:rPr>
        <w:t xml:space="preserve"> </w:t>
      </w:r>
      <w:r w:rsidRPr="00CA530E">
        <w:rPr>
          <w:sz w:val="22"/>
        </w:rPr>
        <w:t xml:space="preserve">с кадастровым номером </w:t>
      </w:r>
      <w:r w:rsidRPr="00CA530E">
        <w:rPr>
          <w:b/>
          <w:sz w:val="22"/>
        </w:rPr>
        <w:t>77:05:0011010:10212</w:t>
      </w:r>
      <w:r w:rsidRPr="00CA530E">
        <w:rPr>
          <w:sz w:val="22"/>
        </w:rPr>
        <w:t>, общей площадью 7 459 м</w:t>
      </w:r>
      <w:r w:rsidRPr="00CA530E">
        <w:rPr>
          <w:sz w:val="22"/>
          <w:vertAlign w:val="superscript"/>
        </w:rPr>
        <w:t>2</w:t>
      </w:r>
      <w:r w:rsidRPr="00CA530E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>», имеющем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4C9EE412" w14:textId="77777777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06A05A17" w14:textId="4F977F8B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CA530E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50ACC5C6" w14:textId="5F879133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CA530E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0F2C1739" w14:textId="248FA3A7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6F8F1DF4" w:rsidR="000B47B9" w:rsidRDefault="00CA530E" w:rsidP="00CA5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Pr="0038655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8655A">
              <w:rPr>
                <w:rFonts w:cs="Arial"/>
                <w:b/>
                <w:sz w:val="20"/>
                <w:szCs w:val="20"/>
              </w:rPr>
              <w:t>кв.м</w:t>
            </w:r>
            <w:proofErr w:type="spellEnd"/>
            <w:r w:rsidRPr="0038655A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0E2A2C" w:rsidRPr="00CA5CF2" w14:paraId="682D56BE" w14:textId="77777777" w:rsidTr="00EE4A79">
        <w:trPr>
          <w:trHeight w:val="287"/>
          <w:jc w:val="center"/>
        </w:trPr>
        <w:tc>
          <w:tcPr>
            <w:tcW w:w="1195" w:type="dxa"/>
          </w:tcPr>
          <w:p w14:paraId="6400485C" w14:textId="30ABF828" w:rsidR="000E2A2C" w:rsidRPr="00697883" w:rsidRDefault="000E2A2C" w:rsidP="000E2A2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67" w:type="dxa"/>
          </w:tcPr>
          <w:p w14:paraId="79E4D6B9" w14:textId="6EBA455E" w:rsidR="000E2A2C" w:rsidRPr="00697883" w:rsidRDefault="000E2A2C" w:rsidP="000E2A2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22" w:type="dxa"/>
          </w:tcPr>
          <w:p w14:paraId="5B0E6739" w14:textId="66BD382A" w:rsidR="000E2A2C" w:rsidRPr="00697883" w:rsidRDefault="000E2A2C" w:rsidP="000E2A2C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18" w:type="dxa"/>
          </w:tcPr>
          <w:p w14:paraId="529AE4D3" w14:textId="7217C3F4" w:rsidR="000E2A2C" w:rsidRPr="00697883" w:rsidRDefault="000E2A2C" w:rsidP="000E2A2C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15" w:type="dxa"/>
          </w:tcPr>
          <w:p w14:paraId="1B495ACE" w14:textId="70288983" w:rsidR="000E2A2C" w:rsidRPr="0038655A" w:rsidRDefault="000E2A2C" w:rsidP="000E2A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A47DB9A" w14:textId="77777777" w:rsidR="00697883" w:rsidRPr="00697883" w:rsidRDefault="00697883" w:rsidP="00697883">
      <w:pPr>
        <w:spacing w:line="276" w:lineRule="auto"/>
        <w:ind w:firstLine="567"/>
        <w:jc w:val="both"/>
        <w:rPr>
          <w:sz w:val="22"/>
          <w:szCs w:val="22"/>
        </w:rPr>
      </w:pPr>
      <w:r w:rsidRPr="00697883">
        <w:rPr>
          <w:sz w:val="22"/>
          <w:szCs w:val="22"/>
        </w:rPr>
        <w:t xml:space="preserve">Стороны пришли к соглашению, что Объект долевого строительства </w:t>
      </w:r>
      <w:r w:rsidRPr="00697883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697883">
        <w:rPr>
          <w:sz w:val="22"/>
          <w:szCs w:val="22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38EDABC" w14:textId="302D1A79" w:rsidR="00697883" w:rsidRPr="00697883" w:rsidRDefault="00677265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0E2A2C">
        <w:rPr>
          <w:rFonts w:ascii="Times New Roman" w:hAnsi="Times New Roman"/>
          <w:b/>
          <w:bCs/>
          <w:highlight w:val="yellow"/>
        </w:rPr>
        <w:lastRenderedPageBreak/>
        <w:t>ХХХХХ</w:t>
      </w:r>
      <w:bookmarkStart w:id="0" w:name="_GoBack"/>
      <w:bookmarkEnd w:id="0"/>
    </w:p>
    <w:p w14:paraId="7B1CECE0" w14:textId="54E60576" w:rsidR="008F0AB7" w:rsidRPr="00CB33CA" w:rsidRDefault="00CA530E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6A10182" w14:textId="7FBF441E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2A2C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1.2. </w:t>
      </w:r>
      <w:r w:rsidR="000E2A2C" w:rsidRPr="000E2A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7764F09D" w14:textId="005B4091" w:rsidR="00CA530E" w:rsidRPr="00DD7602" w:rsidRDefault="00CA530E" w:rsidP="00CA530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766F9CEF" w14:textId="77B42C83" w:rsidR="00CA530E" w:rsidRPr="00CB33CA" w:rsidRDefault="00CA530E" w:rsidP="00CA530E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5B5C7114" w:rsidR="001D25FB" w:rsidRPr="00CB33CA" w:rsidRDefault="00CA530E" w:rsidP="00CA530E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4D6A9DCC" w14:textId="78B0EB7B" w:rsidR="00CA530E" w:rsidRPr="0043134F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</w:t>
      </w:r>
      <w:proofErr w:type="spellStart"/>
      <w:r w:rsidRPr="00247213">
        <w:rPr>
          <w:sz w:val="22"/>
          <w:szCs w:val="22"/>
        </w:rPr>
        <w:t>Сабурово</w:t>
      </w:r>
      <w:proofErr w:type="spellEnd"/>
      <w:r w:rsidRPr="00247213">
        <w:rPr>
          <w:sz w:val="22"/>
          <w:szCs w:val="22"/>
        </w:rPr>
        <w:t xml:space="preserve">, ул. </w:t>
      </w:r>
      <w:proofErr w:type="spellStart"/>
      <w:r w:rsidRPr="00247213">
        <w:rPr>
          <w:sz w:val="22"/>
          <w:szCs w:val="22"/>
        </w:rPr>
        <w:t>Борисовские</w:t>
      </w:r>
      <w:proofErr w:type="spellEnd"/>
      <w:r w:rsidRPr="00247213">
        <w:rPr>
          <w:sz w:val="22"/>
          <w:szCs w:val="22"/>
        </w:rPr>
        <w:t xml:space="preserve">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CA530E">
        <w:rPr>
          <w:sz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>
        <w:rPr>
          <w:sz w:val="22"/>
          <w:szCs w:val="22"/>
        </w:rPr>
        <w:t>;</w:t>
      </w:r>
    </w:p>
    <w:p w14:paraId="0E3472C7" w14:textId="7C589DBB" w:rsidR="00CA530E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397B8F1F" w14:textId="0D2403B4" w:rsidR="008C4AC2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53EDFF74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lastRenderedPageBreak/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1354678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066319B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CA530E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2DD2B1D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374C6E2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lastRenderedPageBreak/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A2B1CF9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CA530E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8A2C5AE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CA530E" w:rsidRPr="00CA530E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02A59353" w14:textId="77777777" w:rsidR="00677265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CA530E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45010D7D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677265" w:rsidRPr="001B0BDD">
        <w:rPr>
          <w:sz w:val="22"/>
          <w:szCs w:val="22"/>
        </w:rPr>
        <w:t xml:space="preserve"> </w:t>
      </w:r>
      <w:r w:rsidR="00677265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46967F27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CA530E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0E2A2C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0E2A2C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3D197CD6" w:rsidR="003B2FE5" w:rsidRPr="001B0BDD" w:rsidRDefault="000E2A2C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2A2C">
        <w:rPr>
          <w:b/>
          <w:bCs/>
          <w:sz w:val="22"/>
          <w:szCs w:val="22"/>
          <w:highlight w:val="yellow"/>
        </w:rPr>
        <w:t>ХХХХХ</w:t>
      </w:r>
    </w:p>
    <w:p w14:paraId="576D0934" w14:textId="61AD2955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использованием аккредитивной формы расчетов, Участник долевого строительства в </w:t>
      </w:r>
      <w:r w:rsidR="00CA530E">
        <w:rPr>
          <w:b/>
          <w:bCs/>
          <w:sz w:val="22"/>
          <w:szCs w:val="22"/>
          <w:highlight w:val="yellow"/>
        </w:rPr>
        <w:t>течение 7 (С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CA530E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71C28DDC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Pr="001B0BDD">
        <w:rPr>
          <w:sz w:val="22"/>
          <w:szCs w:val="22"/>
          <w:highlight w:val="yellow"/>
        </w:rPr>
        <w:t>Летниковская</w:t>
      </w:r>
      <w:proofErr w:type="spellEnd"/>
      <w:r w:rsidRPr="001B0BDD">
        <w:rPr>
          <w:sz w:val="22"/>
          <w:szCs w:val="22"/>
          <w:highlight w:val="yellow"/>
        </w:rPr>
        <w:t>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bCs/>
          <w:sz w:val="22"/>
          <w:szCs w:val="22"/>
          <w:highlight w:val="yellow"/>
        </w:rPr>
        <w:t>эскроу</w:t>
      </w:r>
      <w:proofErr w:type="spellEnd"/>
      <w:r w:rsidRPr="001B0BDD">
        <w:rPr>
          <w:bCs/>
          <w:sz w:val="22"/>
          <w:szCs w:val="22"/>
          <w:highlight w:val="yellow"/>
        </w:rPr>
        <w:t xml:space="preserve">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28BD1924" w14:textId="77777777" w:rsidR="00BC7173" w:rsidRPr="001B0BDD" w:rsidRDefault="00BC7173" w:rsidP="00BC717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Условие исполнения аккредитива:</w:t>
      </w:r>
    </w:p>
    <w:p w14:paraId="797A3CFC" w14:textId="77777777" w:rsidR="00BC7173" w:rsidRPr="001B0BDD" w:rsidRDefault="00BC7173" w:rsidP="00BC7173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- для АО «АЛЬФА-БАНК»</w:t>
      </w:r>
      <w:r>
        <w:rPr>
          <w:b/>
          <w:sz w:val="22"/>
          <w:szCs w:val="22"/>
          <w:highlight w:val="yellow"/>
        </w:rPr>
        <w:t>/</w:t>
      </w:r>
      <w:r w:rsidRPr="0095658C">
        <w:rPr>
          <w:b/>
          <w:sz w:val="22"/>
          <w:szCs w:val="22"/>
          <w:highlight w:val="yellow"/>
        </w:rPr>
        <w:t xml:space="preserve"> </w:t>
      </w:r>
      <w:r w:rsidRPr="001B0BDD">
        <w:rPr>
          <w:b/>
          <w:sz w:val="22"/>
          <w:szCs w:val="22"/>
          <w:highlight w:val="yellow"/>
        </w:rPr>
        <w:t xml:space="preserve">для Ф-Л ПАО «Банк «Санкт-Петербург» в г. Москве ПАО «Банк «Санкт-Петербург»: </w:t>
      </w:r>
    </w:p>
    <w:p w14:paraId="6182979D" w14:textId="77777777" w:rsidR="00BC7173" w:rsidRPr="0095658C" w:rsidRDefault="00BC7173" w:rsidP="00BC7173">
      <w:pPr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69FF5CD7" w14:textId="77777777" w:rsidR="00BC7173" w:rsidRPr="0095658C" w:rsidRDefault="00BC7173" w:rsidP="00BC7173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4999926" w14:textId="77777777" w:rsidR="00BC7173" w:rsidRPr="001B0BDD" w:rsidRDefault="00BC7173" w:rsidP="00BC7173">
      <w:pPr>
        <w:ind w:firstLine="567"/>
        <w:jc w:val="both"/>
        <w:rPr>
          <w:iCs/>
          <w:sz w:val="22"/>
          <w:szCs w:val="22"/>
          <w:highlight w:val="yellow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1B0BDD">
        <w:rPr>
          <w:iCs/>
          <w:sz w:val="22"/>
          <w:szCs w:val="22"/>
          <w:highlight w:val="yellow"/>
        </w:rPr>
        <w:t>.</w:t>
      </w:r>
    </w:p>
    <w:p w14:paraId="1394EFA5" w14:textId="77777777" w:rsidR="00BC7173" w:rsidRPr="001B0BDD" w:rsidRDefault="00BC7173" w:rsidP="00BC7173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53BA4031" w14:textId="77777777" w:rsidR="00BC7173" w:rsidRPr="00911436" w:rsidRDefault="00BC7173" w:rsidP="00BC7173">
      <w:pPr>
        <w:ind w:firstLine="567"/>
        <w:jc w:val="both"/>
        <w:rPr>
          <w:sz w:val="22"/>
          <w:szCs w:val="22"/>
          <w:highlight w:val="yellow"/>
        </w:rPr>
      </w:pPr>
      <w:r w:rsidRPr="00911436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B3D7AEF" w14:textId="264553A2" w:rsidR="00BC7173" w:rsidRPr="00911436" w:rsidRDefault="00BC7173" w:rsidP="00BC7173">
      <w:pPr>
        <w:ind w:firstLine="567"/>
        <w:jc w:val="both"/>
        <w:rPr>
          <w:iCs/>
          <w:sz w:val="22"/>
          <w:szCs w:val="22"/>
          <w:highlight w:val="yellow"/>
        </w:rPr>
      </w:pPr>
      <w:r w:rsidRPr="00911436">
        <w:rPr>
          <w:iCs/>
          <w:sz w:val="22"/>
          <w:szCs w:val="22"/>
          <w:highlight w:val="yellow"/>
        </w:rPr>
        <w:t xml:space="preserve">- оригинала или копии или </w:t>
      </w:r>
      <w:proofErr w:type="spellStart"/>
      <w:r w:rsidRPr="00911436">
        <w:rPr>
          <w:iCs/>
          <w:sz w:val="22"/>
          <w:szCs w:val="22"/>
          <w:highlight w:val="yellow"/>
        </w:rPr>
        <w:t>cкан</w:t>
      </w:r>
      <w:proofErr w:type="spellEnd"/>
      <w:r w:rsidRPr="00911436">
        <w:rPr>
          <w:iCs/>
          <w:sz w:val="22"/>
          <w:szCs w:val="22"/>
          <w:highlight w:val="yellow"/>
        </w:rPr>
        <w:t xml:space="preserve">-образа Договора, содержащего подписи/печати </w:t>
      </w:r>
      <w:r w:rsidR="00CA530E">
        <w:rPr>
          <w:iCs/>
          <w:sz w:val="22"/>
          <w:szCs w:val="22"/>
          <w:highlight w:val="yellow"/>
        </w:rPr>
        <w:t>С</w:t>
      </w:r>
      <w:r w:rsidRPr="00911436">
        <w:rPr>
          <w:iCs/>
          <w:sz w:val="22"/>
          <w:szCs w:val="22"/>
          <w:highlight w:val="yellow"/>
        </w:rPr>
        <w:t xml:space="preserve">торон, с отметкой </w:t>
      </w:r>
      <w:r w:rsidRPr="00911436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911436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CA530E">
        <w:rPr>
          <w:iCs/>
          <w:sz w:val="22"/>
          <w:szCs w:val="22"/>
          <w:highlight w:val="yellow"/>
        </w:rPr>
        <w:t>С</w:t>
      </w:r>
      <w:r w:rsidRPr="00911436">
        <w:rPr>
          <w:iCs/>
          <w:sz w:val="22"/>
          <w:szCs w:val="22"/>
          <w:highlight w:val="yellow"/>
        </w:rPr>
        <w:t>торон;</w:t>
      </w:r>
    </w:p>
    <w:p w14:paraId="6CC1C85C" w14:textId="70A1E236" w:rsidR="00E66AF9" w:rsidRPr="001B0BDD" w:rsidRDefault="00BC7173" w:rsidP="00BC717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11436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911436">
        <w:rPr>
          <w:iCs/>
          <w:sz w:val="22"/>
          <w:szCs w:val="22"/>
          <w:highlight w:val="yellow"/>
          <w:u w:val="single"/>
        </w:rPr>
        <w:t>зарегистрированн</w:t>
      </w:r>
      <w:r>
        <w:rPr>
          <w:iCs/>
          <w:sz w:val="22"/>
          <w:szCs w:val="22"/>
          <w:highlight w:val="yellow"/>
          <w:u w:val="single"/>
        </w:rPr>
        <w:t>ом</w:t>
      </w:r>
      <w:r w:rsidRPr="00911436">
        <w:rPr>
          <w:iCs/>
          <w:sz w:val="22"/>
          <w:szCs w:val="22"/>
          <w:highlight w:val="yellow"/>
          <w:u w:val="single"/>
        </w:rPr>
        <w:t xml:space="preserve"> Договоре</w:t>
      </w:r>
      <w:r>
        <w:rPr>
          <w:iCs/>
          <w:sz w:val="22"/>
          <w:szCs w:val="22"/>
          <w:highlight w:val="yellow"/>
          <w:u w:val="single"/>
        </w:rPr>
        <w:t>.</w:t>
      </w:r>
    </w:p>
    <w:p w14:paraId="61306FAD" w14:textId="210DCF01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CA530E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1A391C3D" w14:textId="6D98C73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CA530E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>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lastRenderedPageBreak/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566F928D" w14:textId="77777777" w:rsidR="000E2A2C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1B0BDD">
        <w:rPr>
          <w:snapToGrid w:val="0"/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snapToGrid w:val="0"/>
          <w:color w:val="000000"/>
          <w:sz w:val="22"/>
          <w:szCs w:val="22"/>
          <w:highlight w:val="yellow"/>
        </w:rPr>
        <w:t xml:space="preserve"> в следующем порядке:</w:t>
      </w:r>
    </w:p>
    <w:p w14:paraId="350187C7" w14:textId="2AD69674" w:rsidR="00E66AF9" w:rsidRPr="000E2A2C" w:rsidRDefault="000E2A2C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0E2A2C">
        <w:rPr>
          <w:b/>
          <w:bCs/>
          <w:sz w:val="22"/>
          <w:szCs w:val="22"/>
          <w:highlight w:val="yellow"/>
        </w:rPr>
        <w:t>ХХХХХ</w:t>
      </w:r>
      <w:r w:rsidR="00E66AF9" w:rsidRPr="001B0BDD">
        <w:rPr>
          <w:sz w:val="22"/>
          <w:szCs w:val="22"/>
        </w:rPr>
        <w:t>.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>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35E57621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</w:t>
      </w:r>
      <w:proofErr w:type="spellStart"/>
      <w:r w:rsidR="00DD283E"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="00DD283E" w:rsidRPr="001B0BDD">
        <w:rPr>
          <w:color w:val="000000"/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="00AA7DC5" w:rsidRPr="001B0BDD">
        <w:rPr>
          <w:sz w:val="22"/>
          <w:szCs w:val="22"/>
          <w:highlight w:val="yellow"/>
        </w:rPr>
        <w:t>Летниковская</w:t>
      </w:r>
      <w:proofErr w:type="spellEnd"/>
      <w:r w:rsidR="00AA7DC5" w:rsidRPr="001B0BDD">
        <w:rPr>
          <w:sz w:val="22"/>
          <w:szCs w:val="22"/>
          <w:highlight w:val="yellow"/>
        </w:rPr>
        <w:t>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proofErr w:type="spellStart"/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 считается заключенным с момента открытия ПАО Банк «ФК Открытие»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>.</w:t>
      </w:r>
    </w:p>
    <w:p w14:paraId="3C63FDB7" w14:textId="4E1A01B8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 xml:space="preserve">. При расхождении площади Объекта долевого строительства в сторону увеличения или </w:t>
      </w:r>
      <w:r w:rsidRPr="00CB33CA">
        <w:rPr>
          <w:sz w:val="22"/>
          <w:szCs w:val="22"/>
        </w:rPr>
        <w:lastRenderedPageBreak/>
        <w:t>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3D0EAFDC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CA530E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CB33CA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</w:t>
      </w:r>
      <w:r w:rsidR="0039633A" w:rsidRPr="001B0BDD">
        <w:rPr>
          <w:sz w:val="22"/>
          <w:szCs w:val="22"/>
        </w:rPr>
        <w:lastRenderedPageBreak/>
        <w:t>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3A9F7066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0E2A2C" w:rsidRPr="000E2A2C">
        <w:rPr>
          <w:b/>
          <w:bCs/>
          <w:color w:val="000000"/>
          <w:sz w:val="22"/>
          <w:szCs w:val="22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1EA3D4A1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A530E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63F494B0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Застройщик вправе передать Объект долевого строительства Участнику </w:t>
      </w:r>
      <w:r w:rsidR="00CA530E">
        <w:rPr>
          <w:sz w:val="22"/>
          <w:szCs w:val="22"/>
        </w:rPr>
        <w:t>долевого 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603CC3F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CA530E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ABF5F76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CA530E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A3A67C2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3FC0616D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A530E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08E3D03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107B5ED8" w14:textId="77777777" w:rsidR="00CA530E" w:rsidRPr="000226CF" w:rsidRDefault="00CA530E" w:rsidP="00CA5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67F238FE" w14:textId="7786870A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9ED1A51" w:rsidR="0045328F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7C320BB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A530E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259F72D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A530E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0E2A2C">
        <w:rPr>
          <w:iCs/>
          <w:sz w:val="22"/>
          <w:szCs w:val="22"/>
          <w:highlight w:val="yellow"/>
        </w:rPr>
        <w:t>:</w:t>
      </w:r>
      <w:r w:rsidRPr="000E2A2C">
        <w:rPr>
          <w:iCs/>
          <w:sz w:val="22"/>
          <w:szCs w:val="22"/>
          <w:highlight w:val="yellow"/>
        </w:rPr>
        <w:t xml:space="preserve"> </w:t>
      </w:r>
      <w:r w:rsidR="000E2A2C" w:rsidRPr="000E2A2C">
        <w:rPr>
          <w:b/>
          <w:bCs/>
          <w:iCs/>
          <w:sz w:val="22"/>
          <w:szCs w:val="22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lastRenderedPageBreak/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04E083E1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CA530E">
        <w:rPr>
          <w:sz w:val="22"/>
          <w:szCs w:val="22"/>
        </w:rPr>
        <w:t>ых</w:t>
      </w:r>
      <w:r w:rsidR="00FF566F" w:rsidRPr="001B0BDD">
        <w:rPr>
          <w:sz w:val="22"/>
          <w:szCs w:val="22"/>
        </w:rPr>
        <w:t xml:space="preserve"> участк</w:t>
      </w:r>
      <w:r w:rsidR="00CA530E">
        <w:rPr>
          <w:sz w:val="22"/>
          <w:szCs w:val="22"/>
        </w:rPr>
        <w:t>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34300117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CA530E">
        <w:rPr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0A6AB98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CA530E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</w:t>
      </w:r>
      <w:r w:rsidRPr="001B0BDD">
        <w:rPr>
          <w:sz w:val="22"/>
          <w:szCs w:val="22"/>
        </w:rPr>
        <w:lastRenderedPageBreak/>
        <w:t>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DB4468B" w14:textId="281779FB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280307BB" w14:textId="27AF62E2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174C647B" w14:textId="2A3C54ED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68B78A76" w14:textId="77777777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6792CEFA" w:rsidR="0045328F" w:rsidRPr="000E2A2C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</w:t>
      </w:r>
      <w:r w:rsidRPr="000E2A2C">
        <w:rPr>
          <w:sz w:val="22"/>
          <w:szCs w:val="22"/>
        </w:rPr>
        <w:t>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E2A2C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2A2C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0E2A2C">
        <w:rPr>
          <w:bCs/>
          <w:sz w:val="22"/>
          <w:szCs w:val="22"/>
        </w:rPr>
        <w:t>115280, г. Москва</w:t>
      </w:r>
      <w:r w:rsidR="006F72A6" w:rsidRPr="000E2A2C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0E2A2C">
        <w:rPr>
          <w:bCs/>
          <w:sz w:val="22"/>
          <w:szCs w:val="22"/>
        </w:rPr>
        <w:t>помещ</w:t>
      </w:r>
      <w:proofErr w:type="spellEnd"/>
      <w:r w:rsidR="006F72A6" w:rsidRPr="000E2A2C">
        <w:rPr>
          <w:bCs/>
          <w:sz w:val="22"/>
          <w:szCs w:val="22"/>
        </w:rPr>
        <w:t xml:space="preserve">. </w:t>
      </w:r>
      <w:r w:rsidR="006F72A6" w:rsidRPr="000E2A2C">
        <w:rPr>
          <w:bCs/>
          <w:sz w:val="22"/>
          <w:szCs w:val="22"/>
          <w:lang w:val="en-US"/>
        </w:rPr>
        <w:t>VI</w:t>
      </w:r>
      <w:r w:rsidR="006F72A6" w:rsidRPr="000E2A2C">
        <w:rPr>
          <w:bCs/>
          <w:sz w:val="22"/>
          <w:szCs w:val="22"/>
        </w:rPr>
        <w:t>, ком. 306</w:t>
      </w:r>
      <w:r w:rsidR="00B06C8E" w:rsidRPr="000E2A2C">
        <w:rPr>
          <w:b/>
          <w:bCs/>
          <w:sz w:val="22"/>
          <w:szCs w:val="22"/>
        </w:rPr>
        <w:t>.</w:t>
      </w:r>
    </w:p>
    <w:p w14:paraId="1DA0AA4C" w14:textId="2A320038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69F4CE7B" w14:textId="77777777" w:rsidR="00433551" w:rsidRPr="00433551" w:rsidRDefault="00433551" w:rsidP="00433551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33551">
        <w:rPr>
          <w:rFonts w:eastAsia="Calibri"/>
          <w:b/>
          <w:bCs/>
          <w:sz w:val="22"/>
          <w:szCs w:val="22"/>
        </w:rPr>
        <w:t xml:space="preserve">12.6. </w:t>
      </w:r>
      <w:r w:rsidRPr="0043355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03A6795B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A530E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1B0BDD">
        <w:rPr>
          <w:b/>
          <w:bCs/>
          <w:sz w:val="22"/>
          <w:szCs w:val="22"/>
        </w:rPr>
        <w:t>Борисовские</w:t>
      </w:r>
      <w:proofErr w:type="spellEnd"/>
      <w:r w:rsidRPr="001B0BDD">
        <w:rPr>
          <w:b/>
          <w:bCs/>
          <w:sz w:val="22"/>
          <w:szCs w:val="22"/>
        </w:rPr>
        <w:t xml:space="preserve">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1B0BDD">
        <w:rPr>
          <w:bCs/>
          <w:sz w:val="22"/>
          <w:szCs w:val="22"/>
        </w:rPr>
        <w:t>помещ</w:t>
      </w:r>
      <w:proofErr w:type="spellEnd"/>
      <w:r w:rsidRPr="001B0BDD">
        <w:rPr>
          <w:bCs/>
          <w:sz w:val="22"/>
          <w:szCs w:val="22"/>
        </w:rPr>
        <w:t xml:space="preserve">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18826E69" w:rsidR="00D559F4" w:rsidRPr="001B0BDD" w:rsidRDefault="000E2A2C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E2A2C">
        <w:rPr>
          <w:b/>
          <w:bCs/>
          <w:sz w:val="22"/>
          <w:szCs w:val="22"/>
        </w:rPr>
        <w:t>____________________</w:t>
      </w:r>
      <w:r w:rsidRPr="000E2A2C">
        <w:rPr>
          <w:b/>
          <w:bCs/>
          <w:sz w:val="22"/>
          <w:szCs w:val="22"/>
          <w:highlight w:val="yellow"/>
        </w:rPr>
        <w:t>/ХХХХХ</w:t>
      </w:r>
      <w:r w:rsidR="00D559F4" w:rsidRPr="000E2A2C">
        <w:rPr>
          <w:b/>
          <w:bCs/>
          <w:sz w:val="22"/>
          <w:szCs w:val="22"/>
          <w:highlight w:val="yellow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40B25DD1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7556D861" w:rsidR="00C10C6D" w:rsidRPr="001B0BDD" w:rsidRDefault="000E2A2C" w:rsidP="008C4F1D">
      <w:pPr>
        <w:jc w:val="right"/>
        <w:rPr>
          <w:b/>
          <w:i/>
          <w:sz w:val="22"/>
          <w:szCs w:val="22"/>
        </w:rPr>
      </w:pPr>
      <w:r w:rsidRPr="000E2A2C">
        <w:rPr>
          <w:b/>
          <w:bCs/>
          <w:sz w:val="22"/>
          <w:szCs w:val="22"/>
        </w:rPr>
        <w:t>____________________</w:t>
      </w:r>
      <w:r w:rsidRPr="000E2A2C">
        <w:rPr>
          <w:b/>
          <w:bCs/>
          <w:sz w:val="22"/>
          <w:szCs w:val="22"/>
          <w:highlight w:val="yellow"/>
        </w:rPr>
        <w:t>/ХХХХХ/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3CDFF392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0E2A2C">
        <w:rPr>
          <w:b/>
          <w:i/>
          <w:sz w:val="20"/>
          <w:szCs w:val="22"/>
        </w:rPr>
        <w:t xml:space="preserve">№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0E2A2C">
        <w:rPr>
          <w:b/>
          <w:bCs/>
          <w:i/>
          <w:sz w:val="20"/>
          <w:szCs w:val="22"/>
        </w:rPr>
        <w:t xml:space="preserve"> </w:t>
      </w:r>
      <w:r w:rsidRPr="000E2A2C">
        <w:rPr>
          <w:b/>
          <w:i/>
          <w:sz w:val="20"/>
          <w:szCs w:val="22"/>
        </w:rPr>
        <w:t xml:space="preserve">от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F1D7579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77B2E11F" w14:textId="599D7B53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</w:t>
      </w:r>
      <w:r w:rsidRPr="000E2A2C">
        <w:rPr>
          <w:b/>
          <w:sz w:val="22"/>
          <w:szCs w:val="22"/>
        </w:rPr>
        <w:t xml:space="preserve">этажа </w:t>
      </w:r>
      <w:r w:rsidR="00D559F4" w:rsidRPr="000E2A2C">
        <w:rPr>
          <w:b/>
          <w:sz w:val="22"/>
          <w:szCs w:val="22"/>
        </w:rPr>
        <w:t xml:space="preserve">№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0E2A2C">
        <w:rPr>
          <w:b/>
          <w:sz w:val="22"/>
          <w:szCs w:val="22"/>
        </w:rPr>
        <w:t>№</w:t>
      </w:r>
      <w:r w:rsidR="003A32B9" w:rsidRPr="000E2A2C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719489B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A530E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37AE7F8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0E2A2C" w:rsidRPr="00B70817">
        <w:rPr>
          <w:b/>
          <w:bCs/>
          <w:sz w:val="22"/>
          <w:szCs w:val="22"/>
        </w:rPr>
        <w:t>____________________/</w:t>
      </w:r>
      <w:r w:rsidR="000E2A2C" w:rsidRPr="00B70817">
        <w:rPr>
          <w:b/>
          <w:bCs/>
          <w:sz w:val="22"/>
          <w:szCs w:val="22"/>
          <w:highlight w:val="yellow"/>
        </w:rPr>
        <w:t>ХХХХХ</w:t>
      </w:r>
      <w:r w:rsidR="000E2A2C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66206849" w14:textId="69BB59C9" w:rsidR="00D93945" w:rsidRPr="00CB33CA" w:rsidRDefault="00D559F4" w:rsidP="000E2A2C">
      <w:pPr>
        <w:jc w:val="right"/>
        <w:rPr>
          <w:b/>
          <w:snapToGrid w:val="0"/>
          <w:sz w:val="22"/>
          <w:szCs w:val="22"/>
          <w:lang w:eastAsia="en-US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0E2A2C" w:rsidRPr="00B70817">
        <w:rPr>
          <w:b/>
          <w:bCs/>
          <w:sz w:val="22"/>
          <w:szCs w:val="22"/>
        </w:rPr>
        <w:t>____________________/</w:t>
      </w:r>
      <w:r w:rsidR="000E2A2C" w:rsidRPr="00B70817">
        <w:rPr>
          <w:b/>
          <w:bCs/>
          <w:sz w:val="22"/>
          <w:szCs w:val="22"/>
          <w:highlight w:val="yellow"/>
        </w:rPr>
        <w:t>ХХХХХ</w:t>
      </w:r>
      <w:r w:rsidR="000E2A2C" w:rsidRPr="00B70817">
        <w:rPr>
          <w:b/>
          <w:bCs/>
          <w:sz w:val="22"/>
          <w:szCs w:val="22"/>
        </w:rPr>
        <w:t xml:space="preserve"> /</w:t>
      </w: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677265">
      <w:rPr>
        <w:noProof/>
        <w:sz w:val="20"/>
      </w:rPr>
      <w:t>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512F"/>
    <w:rsid w:val="000D7A42"/>
    <w:rsid w:val="000E296B"/>
    <w:rsid w:val="000E2A2C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A72C6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551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77265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59FD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173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530E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6629-5E3B-40DC-898A-9A2BE95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5872</Words>
  <Characters>43394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49168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16</cp:revision>
  <cp:lastPrinted>2021-12-17T07:37:00Z</cp:lastPrinted>
  <dcterms:created xsi:type="dcterms:W3CDTF">2022-01-12T12:03:00Z</dcterms:created>
  <dcterms:modified xsi:type="dcterms:W3CDTF">2023-06-08T09:57:00Z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