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трех многоквартирных жилых домов №8,9,10,</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ru-RU" w:eastAsia="ar-SA" w:bidi="ar-SA"/>
        </w:rPr>
        <w:t>10 со встроенными помещениями</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1 секция-7 эт.; 2 секция-9 эт.; 3 секция-7 эт.; 4 секция-7 эт.; 5 секция-9 эт.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С</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10</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773"/>
        <w:gridCol w:w="1565"/>
      </w:tblGrid>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b/>
                <w:b/>
                <w:bCs/>
              </w:rPr>
            </w:pPr>
            <w:r>
              <w:rPr>
                <w:rFonts w:ascii="Times New Roman" w:hAnsi="Times New Roman"/>
                <w:b/>
                <w:bCs/>
                <w:kern w:val="2"/>
                <w:sz w:val="24"/>
                <w:szCs w:val="24"/>
                <w:lang w:eastAsia="en-US"/>
              </w:rPr>
              <w:t>Номер квартиры</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0" w:name="__DdeLink__5411_3571317140"/>
            <w:r>
              <w:rPr>
                <w:rFonts w:ascii="Times New Roman" w:hAnsi="Times New Roman"/>
                <w:spacing w:val="-3"/>
                <w:kern w:val="2"/>
                <w:sz w:val="21"/>
                <w:szCs w:val="21"/>
                <w:lang w:eastAsia="en-US"/>
              </w:rPr>
              <w:t>понижающим  коэффициентом 0,5</w:t>
            </w:r>
            <w:bookmarkEnd w:id="0"/>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 w:name="__DdeLink__77277_2629756834"/>
            <w:r>
              <w:rPr>
                <w:rFonts w:ascii="Times New Roman" w:hAnsi="Times New Roman"/>
                <w:b/>
                <w:bCs/>
                <w:spacing w:val="-5"/>
                <w:kern w:val="2"/>
                <w:sz w:val="24"/>
                <w:szCs w:val="24"/>
                <w:lang w:eastAsia="en-US"/>
              </w:rPr>
              <w:t>(с коэфф. 0,3)</w:t>
            </w:r>
            <w:bookmarkEnd w:id="1"/>
            <w:r>
              <w:rPr>
                <w:rFonts w:ascii="Times New Roman" w:hAnsi="Times New Roman"/>
                <w:b/>
                <w:bCs/>
                <w:spacing w:val="-5"/>
                <w:kern w:val="2"/>
                <w:sz w:val="24"/>
                <w:szCs w:val="24"/>
                <w:lang w:eastAsia="en-US"/>
              </w:rPr>
              <w:t xml:space="preserve">,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773"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Площадь постирочной </w:t>
            </w:r>
            <w:r>
              <w:rPr>
                <w:rFonts w:ascii="Times New Roman" w:hAnsi="Times New Roman"/>
                <w:sz w:val="24"/>
                <w:szCs w:val="24"/>
              </w:rPr>
              <w:t>(при наличии)</w:t>
            </w:r>
            <w:r>
              <w:rPr>
                <w:rFonts w:ascii="Times New Roman" w:hAnsi="Times New Roman"/>
                <w:sz w:val="24"/>
                <w:szCs w:val="24"/>
              </w:rPr>
              <w:t>,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Площадь гардеробной </w:t>
            </w:r>
            <w:r>
              <w:rPr>
                <w:rFonts w:ascii="Times New Roman" w:hAnsi="Times New Roman"/>
                <w:sz w:val="24"/>
                <w:szCs w:val="24"/>
              </w:rPr>
              <w:t>(при наличии)</w:t>
            </w:r>
            <w:r>
              <w:rPr>
                <w:rFonts w:ascii="Times New Roman" w:hAnsi="Times New Roman"/>
                <w:sz w:val="24"/>
                <w:szCs w:val="24"/>
              </w:rPr>
              <w:t>,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10.</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с черновой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улучшенной</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5555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№18:08:162001:2943-18/063/2021-1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10</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3"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3"/>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№10.</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4" w:name="__DdeLink__1136_2748773397"/>
      <w:r>
        <w:rPr>
          <w:rFonts w:cs="Times New Roman"/>
        </w:rPr>
        <w:t>до даты государственной регистрации настоящего Договора,</w:t>
      </w:r>
      <w:bookmarkEnd w:id="4"/>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01</w:t>
      </w:r>
      <w:r>
        <w:rPr>
          <w:rFonts w:ascii="Times New Roman" w:hAnsi="Times New Roman"/>
          <w:b/>
          <w:bCs/>
          <w:kern w:val="2"/>
          <w:sz w:val="24"/>
          <w:szCs w:val="24"/>
          <w:lang w:val="ru-RU" w:bidi="hi-IN"/>
        </w:rPr>
        <w:t>.08.202</w:t>
      </w:r>
      <w:r>
        <w:rPr>
          <w:rFonts w:eastAsia="Times New Roman" w:cs="Times New Roman" w:ascii="Times New Roman" w:hAnsi="Times New Roman"/>
          <w:b/>
          <w:bCs/>
          <w:color w:val="auto"/>
          <w:kern w:val="2"/>
          <w:sz w:val="24"/>
          <w:szCs w:val="24"/>
          <w:lang w:val="ru-RU" w:eastAsia="ar-SA" w:bidi="hi-IN"/>
        </w:rPr>
        <w:t>4</w:t>
      </w:r>
      <w:r>
        <w:rPr>
          <w:rFonts w:ascii="Times New Roman" w:hAnsi="Times New Roman"/>
          <w:b/>
          <w:bCs/>
          <w:kern w:val="2"/>
          <w:sz w:val="24"/>
          <w:szCs w:val="24"/>
          <w:lang w:val="ru-RU" w:bidi="hi-IN"/>
        </w:rPr>
        <w:t xml:space="preserve"> г</w:t>
      </w:r>
      <w:r>
        <w:rPr>
          <w:rFonts w:ascii="Times New Roman" w:hAnsi="Times New Roman"/>
          <w:b/>
          <w:bCs/>
          <w:kern w:val="2"/>
          <w:sz w:val="24"/>
          <w:szCs w:val="24"/>
          <w:lang w:bidi="hi-IN"/>
        </w:rPr>
        <w:t>.</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5" w:name="__DdeLink__593_2748773397"/>
      <w:r>
        <w:rPr>
          <w:rFonts w:ascii="Times New Roman" w:hAnsi="Times New Roman"/>
          <w:color w:val="000000"/>
          <w:sz w:val="24"/>
          <w:szCs w:val="24"/>
        </w:rPr>
        <w:t>Жилого дома №</w:t>
      </w:r>
      <w:bookmarkEnd w:id="5"/>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10</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10</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6"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6"/>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7" w:name="__DdeLink__1692_2868108546"/>
      <w:r>
        <w:rPr>
          <w:rFonts w:cs="Times New Roman"/>
        </w:rPr>
        <w:t>и/или его части</w:t>
      </w:r>
      <w:bookmarkEnd w:id="7"/>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8" w:name="__DdeLink__708_3015934926"/>
      <w:r>
        <w:rPr>
          <w:rFonts w:eastAsia="Calibri" w:cs="Times New Roman"/>
          <w:lang w:eastAsia="en-US"/>
        </w:rPr>
        <w:t>долевого строительства</w:t>
      </w:r>
      <w:bookmarkEnd w:id="8"/>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9" w:name="_GoBack"/>
      <w:bookmarkEnd w:id="9"/>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10"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10"/>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11" w:name="__DdeLink__5411_35713171401"/>
            <w:r>
              <w:rPr>
                <w:rFonts w:ascii="Times New Roman" w:hAnsi="Times New Roman"/>
                <w:spacing w:val="-3"/>
                <w:kern w:val="2"/>
                <w:sz w:val="21"/>
                <w:szCs w:val="21"/>
                <w:lang w:eastAsia="en-US"/>
              </w:rPr>
              <w:t>понижающим  коэффициентом 0,5</w:t>
            </w:r>
            <w:bookmarkEnd w:id="11"/>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2" w:name="__DdeLink__77277_26297568341"/>
            <w:r>
              <w:rPr>
                <w:rFonts w:ascii="Times New Roman" w:hAnsi="Times New Roman"/>
                <w:b/>
                <w:bCs/>
                <w:spacing w:val="-5"/>
                <w:kern w:val="2"/>
                <w:sz w:val="24"/>
                <w:szCs w:val="24"/>
                <w:lang w:eastAsia="en-US"/>
              </w:rPr>
              <w:t>(с коэфф. 0,3)</w:t>
            </w:r>
            <w:bookmarkEnd w:id="12"/>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постирочной,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3" w:name="__DdeLink__14725_793587514"/>
      <w:r>
        <w:rPr>
          <w:rFonts w:ascii="Times New Roman" w:hAnsi="Times New Roman"/>
          <w:sz w:val="20"/>
          <w:szCs w:val="20"/>
        </w:rPr>
        <w:t>(подпись)            Ф.И.О.</w:t>
      </w:r>
      <w:bookmarkEnd w:id="13"/>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(черновая)</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санзула: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высококачественная.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4"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4"/>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ascii="Times New Roman" w:hAnsi="Times New Roman"/>
          <w:b/>
          <w:bCs/>
          <w:sz w:val="24"/>
          <w:szCs w:val="24"/>
        </w:rPr>
        <w:t>лоджия с установкой остекления, без отделки./Терраса без отделки.</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5" w:name="_GoBack1"/>
      <w:bookmarkEnd w:id="15"/>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Межкомнатные двери типа канадка с покраской,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bookmarkStart w:id="16" w:name="__DdeLink__3677_1191987240"/>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я с установкой остекления, без отделки</w:t>
            </w:r>
            <w:r>
              <w:rPr>
                <w:rFonts w:ascii="Times New Roman" w:hAnsi="Times New Roman"/>
                <w:b/>
                <w:bCs/>
                <w:i w:val="false"/>
                <w:iCs w:val="false"/>
                <w:sz w:val="24"/>
                <w:szCs w:val="24"/>
              </w:rPr>
              <w:t>.</w:t>
            </w:r>
            <w:bookmarkEnd w:id="16"/>
            <w:r>
              <w:rPr>
                <w:rFonts w:ascii="Times New Roman" w:hAnsi="Times New Roman"/>
                <w:b/>
                <w:bCs/>
                <w:i w:val="false"/>
                <w:iCs w:val="false"/>
                <w:sz w:val="24"/>
                <w:szCs w:val="24"/>
              </w:rPr>
              <w:t>/Терраса без отделки.</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(чистовая/улучшенная)</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249"/>
        <w:gridCol w:w="7618"/>
      </w:tblGrid>
      <w:tr>
        <w:trPr>
          <w:trHeight w:val="3396" w:hRule="atLeast"/>
        </w:trPr>
        <w:tc>
          <w:tcPr>
            <w:tcW w:w="2249"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61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249"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618"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улучшенная</w:t>
            </w:r>
            <w:r>
              <w:rPr>
                <w:rFonts w:ascii="Times New Roman" w:hAnsi="Times New Roman"/>
                <w:b/>
                <w:bCs/>
                <w:sz w:val="24"/>
                <w:szCs w:val="24"/>
              </w:rPr>
              <w:t>)</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 с дополнительными выводами под освещение.</w:t>
            </w:r>
          </w:p>
          <w:p>
            <w:pPr>
              <w:pStyle w:val="Style32"/>
              <w:spacing w:before="0" w:after="29"/>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before="0" w:after="29"/>
              <w:rPr/>
            </w:pPr>
            <w:r>
              <w:rPr>
                <w:rFonts w:ascii="Times New Roman" w:hAnsi="Times New Roman"/>
                <w:b w:val="false"/>
                <w:bCs w:val="false"/>
                <w:i w:val="false"/>
                <w:iCs w:val="false"/>
                <w:sz w:val="24"/>
                <w:szCs w:val="24"/>
              </w:rPr>
              <w:t xml:space="preserve">На </w:t>
            </w:r>
            <w:r>
              <w:rPr>
                <w:rFonts w:ascii="Times New Roman" w:hAnsi="Times New Roman"/>
                <w:b/>
                <w:bCs/>
                <w:i w:val="false"/>
                <w:iCs w:val="false"/>
                <w:sz w:val="24"/>
                <w:szCs w:val="24"/>
              </w:rPr>
              <w:t>кухне</w:t>
            </w:r>
            <w:r>
              <w:rPr>
                <w:rFonts w:ascii="Times New Roman" w:hAnsi="Times New Roman"/>
                <w:b w:val="false"/>
                <w:bCs w:val="false"/>
                <w:i w:val="false"/>
                <w:iCs w:val="false"/>
                <w:sz w:val="24"/>
                <w:szCs w:val="24"/>
              </w:rPr>
              <w:t xml:space="preserve"> устанавливается мойка со смесителем.</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я с установкой остекления, без отделки</w:t>
            </w:r>
            <w:r>
              <w:rPr>
                <w:rFonts w:ascii="Times New Roman" w:hAnsi="Times New Roman"/>
                <w:b/>
                <w:bCs/>
                <w:i w:val="false"/>
                <w:iCs w:val="false"/>
                <w:sz w:val="24"/>
                <w:szCs w:val="24"/>
              </w:rPr>
              <w:t>./Терраса без отделки.</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p>
      <w:pPr>
        <w:pStyle w:val="Normal"/>
        <w:spacing w:before="0" w:after="20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Application>LibreOffice/6.3.2.2$Windows_X86_64 LibreOffice_project/98b30e735bda24bc04ab42594c85f7fd8be07b9c</Application>
  <Pages>14</Pages>
  <Words>4953</Words>
  <Characters>36869</Characters>
  <CharactersWithSpaces>42135</CharactersWithSpaces>
  <Paragraphs>304</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2021-02-18T15:03:33Z</cp:lastPrinted>
  <dcterms:modified xsi:type="dcterms:W3CDTF">2021-10-13T13:54:41Z</dcterms:modified>
  <cp:revision>86</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