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ДОГОВОР № СМ-кв-кв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участия в долевом строительстве многоквартирного дома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г. Краснодар                                                                                          «____» ____________  2020  года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>Общество с ограниченной ответственностью Специализированный застройщик «Парк Победы»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(ОГРН: 1202300022187, ИНН: 2308272473, КПП: 230801001)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 в лице генерального директора Давиденко Антона Дмитриевича, действующего на основании Устава именуемое в дальнейшем «Застройщик»,  с одной стороны,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и </w:t>
      </w: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 xml:space="preserve">  _______________________________________________________________________________________</w:t>
      </w:r>
      <w:r w:rsidRPr="0036579A">
        <w:rPr>
          <w:rFonts w:ascii="Times New Roman" w:eastAsia="Times New Roman" w:hAnsi="Times New Roman" w:cs="Times New Roman"/>
          <w:bCs/>
          <w:kern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 xml:space="preserve">именуемый 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: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1. Общие положения.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1.1. </w:t>
      </w:r>
      <w:r w:rsidRPr="0036579A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Застройщик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ООО  Специализированный застройщик «Парк Победы»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36579A" w:rsidRPr="0036579A" w:rsidRDefault="0036579A" w:rsidP="0036579A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1.2. </w:t>
      </w:r>
      <w:r w:rsidRPr="0036579A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Многоквартирный дом</w:t>
      </w:r>
      <w:r w:rsidRPr="0036579A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(Дом)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–  </w:t>
      </w:r>
      <w:r w:rsidR="00503BFB" w:rsidRPr="009D1302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Литер </w:t>
      </w:r>
      <w:r w:rsidR="00123403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>5</w:t>
      </w:r>
      <w:r w:rsidRPr="0036579A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>входящий в состав Жилого  комплекса, расположенного в г. Краснодаре</w:t>
      </w:r>
      <w:r w:rsidRPr="0036579A">
        <w:rPr>
          <w:rFonts w:ascii="Times New Roman" w:eastAsia="Times New Roman" w:hAnsi="Times New Roman" w:cs="Times New Roman"/>
          <w:bCs/>
          <w:color w:val="000000"/>
          <w:spacing w:val="5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строительство которого ведет Застройщик на земельном участке площадью 40015 кв. м.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кадастровым номером: 23:43:0119002:4681, находящимся по адресу: </w:t>
      </w:r>
      <w:r w:rsidRPr="0036579A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>Краснодарский край, г Краснодар, ул. им. Героя Пешкова, 14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принадлежащий Застройщику на праве собственности, на основании Договора купли-продажи  земельного участка №3103/2020 от 31.03.2020 г., что подтверждается записью ЕГРН за №23:43:0119002:4681-23/001/2020-31  от 03.04.2020г.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1.2.1. Характеристики дома: этажность: 25, общая площадь: </w:t>
      </w:r>
      <w:r w:rsidR="00123403">
        <w:rPr>
          <w:rFonts w:ascii="Times New Roman" w:eastAsia="Times New Roman" w:hAnsi="Times New Roman" w:cs="Times New Roman"/>
          <w:kern w:val="2"/>
          <w:sz w:val="21"/>
          <w:szCs w:val="21"/>
        </w:rPr>
        <w:t>14 483</w:t>
      </w:r>
      <w:r w:rsidR="00920B06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кв. м., материал наружных стен и межэтажных перекрытий: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>, материал перекрытий: монолитный железобетонный; класс энергоэффективности «В», сейсмостойкость: 7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6579A" w:rsidRPr="0036579A" w:rsidRDefault="0036579A" w:rsidP="0036579A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>1.3. Разрешение на строительство № 23-43-5259-р-2018, выдано 30 июня 2018 г. Департаментом архитектуры и градостроительства администрации муниципального образования город Краснодар.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1.4.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Объект долевого строительства </w:t>
      </w:r>
      <w:r w:rsidRPr="0036579A">
        <w:rPr>
          <w:rFonts w:ascii="Times New Roman" w:eastAsia="Times New Roman" w:hAnsi="Times New Roman" w:cs="Times New Roman"/>
          <w:kern w:val="19"/>
          <w:sz w:val="21"/>
          <w:szCs w:val="21"/>
          <w:lang w:eastAsia="ar-SA"/>
        </w:rPr>
        <w:t>- жилое помещение – квартира № __ , количество комнат – _, этаж – __, подъезд-__ .  Общая площадь Квартиры определяется согласно проекту без учета площади лоджий  и предварительно составляет ____кв. м. Проектная общая площадь с лоджиями составляет _____кв. м. с применением понижающего коэффициента  0,5 для лоджий.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Расположение и планировка Объектов долевого строительства указана в Приложении № 1 к настоящему договору</w:t>
      </w:r>
      <w:r w:rsidRPr="0036579A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со следующими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элементами внутренней отделки и комплектации: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входная техническая (временная) дверь, межкомнатные двери устанавливаются Дольщиком самостоятельно,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окна и балконные двери из ПВХ, балкон/лоджия с остеклением,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стен отделочной смесью (кроме санузлов, балконов/лоджий),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потолки монолитные железобетонные,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межквартирные железобетонные перегородки  и/или  перегородки из легкобетонных блоков  толщиной 200 мм,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межкомнатные перегородки из легкобетонных блоков  толщиной 80мм,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пола цементно-песчаной смесью (кроме балконов/лоджий),</w:t>
      </w:r>
    </w:p>
    <w:p w:rsidR="0036579A" w:rsidRPr="0036579A" w:rsidRDefault="0036579A" w:rsidP="0036579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монтаж системы отопления: ввод в квартиру от этажного коллекторного щита горизонтальной разводки труб в  конструкции пола с установленными радиаторами на стенах в жилых комнатах и кухне, 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теплосчетчики устанавливаются  в этажном коллекторном шкафу;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устройство системы естественной вентиляции (без вентиляционных решеток),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 монтаж системы водоснабжения: ввод в квартиру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от этажного щита водоснабжения горизонтальной разводки труб в конструкции пола с запорной арматурой в сан/узлах (шаровыми кранами), с установкой водомера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этажном коллекторном шкафу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, без внутриквартирной разводки,  (шкаф первичного пожаротушения Дольщиком устанавливаются самостоятельно),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>- монтаж системы канализации: стояки с точкой подключения,</w:t>
      </w:r>
    </w:p>
    <w:p w:rsid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>-монтаж системы электроснабжения: прокладка электропроводов от этажного электрощита к квартирному электрощиту, с разводкой по квартире согласно проекту, без установки конечных приборов,</w:t>
      </w:r>
    </w:p>
    <w:p w:rsidR="00D8526B" w:rsidRPr="00D8526B" w:rsidRDefault="00D8526B" w:rsidP="0036579A">
      <w:pPr>
        <w:spacing w:after="0"/>
        <w:ind w:left="-142" w:firstLine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устройство слаботочных систем (радио) до этажного электрощита.</w:t>
      </w:r>
      <w:bookmarkStart w:id="0" w:name="_GoBack"/>
      <w:bookmarkEnd w:id="0"/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1.5. Проектная декларация,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представленная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в информационно-телекоммуникационной сети общего пользования «Интернет» по адресу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36579A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www.1dogma.ru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включает в себя информацию о застройщике и информацию о проекте строительства. Оригинал проектной декларации хранит Застройщик. 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1.7.1. Если в отношении уполномоченного банка, в котором открыт счет эскроу,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2. Предмет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2.1. 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производятся за счет Участника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долевого строительства.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3. Цена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3.2. Цена Договора составляет </w:t>
      </w:r>
      <w:r w:rsidRPr="0036579A">
        <w:rPr>
          <w:rFonts w:ascii="Times New Roman" w:eastAsia="Times New Roman" w:hAnsi="Times New Roman" w:cs="Times New Roman"/>
          <w:b/>
          <w:color w:val="FF0000"/>
          <w:kern w:val="1"/>
          <w:sz w:val="21"/>
          <w:szCs w:val="21"/>
          <w:lang w:eastAsia="ar-SA"/>
        </w:rPr>
        <w:t>_____________________</w:t>
      </w:r>
      <w:r w:rsidRPr="0036579A">
        <w:rPr>
          <w:rFonts w:ascii="Times New Roman" w:eastAsia="Times New Roman" w:hAnsi="Times New Roman" w:cs="Times New Roman"/>
          <w:b/>
          <w:bCs/>
          <w:color w:val="FF0000"/>
          <w:kern w:val="1"/>
          <w:sz w:val="21"/>
          <w:szCs w:val="21"/>
          <w:lang w:eastAsia="ar-SA"/>
        </w:rPr>
        <w:t xml:space="preserve"> рублей. </w:t>
      </w:r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эскроу ____________________________________________ в </w:t>
      </w:r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highlight w:val="yellow"/>
          <w:lang w:eastAsia="ar-SA"/>
        </w:rPr>
        <w:t>ПАО Сбербанк  (Далее по тексту – уполномоченный банк).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квартиры, площади балконов, лоджий и прочих помещений, входящих в состав Объекта долевого строительства, с применением понижающего коэффициента 0,5 для лоджий.  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3.3.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3.3.1.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3.3.2. 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 xml:space="preserve">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исходя из фактической общей площади объекта долевого строительства с применением понижающего коэффициента 0,5 для лоджий.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>. 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применением понижающего коэффициента 0,5 для лоджий. 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 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 Права и обязанности сторон.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4.1. Застройщик обязуется: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4.1.1. Совершить все действия и предоставить документы,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4.1.2. В случае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4.1.5.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36579A">
        <w:rPr>
          <w:rFonts w:ascii="Times New Roman" w:eastAsia="Lucida Sans Unicode" w:hAnsi="Times New Roman" w:cs="Times New Roman"/>
          <w:kern w:val="2"/>
          <w:sz w:val="21"/>
          <w:szCs w:val="21"/>
        </w:rPr>
        <w:t>10-ти календарных дней</w:t>
      </w: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перешедшим к Участнику долевого строительства со дня составления указанных одностороннего акта или иного </w:t>
      </w: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lastRenderedPageBreak/>
        <w:t xml:space="preserve">документа о передаче Объекта долевого строительства. 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4.2. Застройщик имеет право: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36579A"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  <w:t xml:space="preserve">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4.3. Участник долевого строительства обязуется: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4.3.1. Своевременно, в срок, предусмотренный п. 3.2 настоящего Договора, внести денежные средства, предусмотренные п. 3.1 настоящего Договора, на счет эскроу,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но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остеклением лоджий,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36579A" w:rsidRPr="0036579A" w:rsidRDefault="0036579A" w:rsidP="0036579A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4.6.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указанного в п.1.2 настоящего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                                                    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5. Ответственность сторон.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5.1. В случае неисполнения или ненадлежащего исполнения обязательств по Договору Сторона, не исполнившая своих обязательств или ненадлежащее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6. Гарантии качества.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7. Передача объекта долевого строительства.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="0012340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3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(</w:t>
      </w:r>
      <w:r w:rsidR="0012340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третий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) квартал  2023</w:t>
      </w:r>
      <w:r w:rsidR="00920B0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г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Срок передачи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(до 3</w:t>
      </w:r>
      <w:r w:rsidR="00503BFB" w:rsidRPr="009D130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1 </w:t>
      </w:r>
      <w:r w:rsidR="0012340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января </w:t>
      </w:r>
      <w:r w:rsidR="00503BFB" w:rsidRPr="009D130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202</w:t>
      </w:r>
      <w:r w:rsidR="0012340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г.).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8. Односторонний отказ от исполнения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8.2. 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рублей) в течение 90 (девяноста) дней со дня заключения соглашения о расторжении.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8.3. 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9. Уступка прав требований по Договору.</w:t>
      </w:r>
    </w:p>
    <w:p w:rsidR="0036579A" w:rsidRPr="0036579A" w:rsidRDefault="0036579A" w:rsidP="0036579A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36579A" w:rsidRPr="0036579A" w:rsidRDefault="0036579A" w:rsidP="0036579A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10. Освобождение от ответственности (форс-мажор).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обстоятельств при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11. Заключительные положения.</w:t>
      </w:r>
    </w:p>
    <w:p w:rsidR="0036579A" w:rsidRPr="0036579A" w:rsidRDefault="0036579A" w:rsidP="0036579A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11.2.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36579A" w:rsidRPr="0036579A" w:rsidRDefault="0036579A" w:rsidP="0036579A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36579A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 урегулирования спорных вопросов в досудебном порядке, спор передается на разрешение в Прикубанский районный суд г. Краснодара. </w:t>
      </w:r>
    </w:p>
    <w:p w:rsidR="0036579A" w:rsidRPr="0036579A" w:rsidRDefault="0036579A" w:rsidP="0036579A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36579A" w:rsidRPr="0036579A" w:rsidRDefault="0036579A" w:rsidP="00365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11.5.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Приложение №1.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 План и расположение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Объекта долевого строительства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БАНКОВСКИЕ РЕКВИЗИТЫ И ПОДПИСИ СТОРОН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</w:pPr>
      <w:r w:rsidRPr="0036579A">
        <w:rPr>
          <w:rFonts w:ascii="Times New Roman" w:eastAsia="Calibri" w:hAnsi="Times New Roman" w:cs="Times New Roman"/>
          <w:b/>
          <w:color w:val="000000"/>
          <w:kern w:val="2"/>
          <w:sz w:val="21"/>
          <w:szCs w:val="21"/>
          <w:lang w:eastAsia="ru-RU"/>
        </w:rPr>
        <w:t xml:space="preserve">Застройщик: </w:t>
      </w:r>
      <w:r w:rsidRPr="0036579A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ru-RU"/>
        </w:rPr>
        <w:t xml:space="preserve">Общество с ограниченной ответственностью Специализированный застройщик «Парк Победы»  </w:t>
      </w:r>
      <w:r w:rsidRPr="0036579A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 xml:space="preserve">(ОГРН: 1202300022187, ИНН: 2308272473, КПП: 230801001, АДРЕС:  Краснодарский край, г.  Краснодар, ул. Красных Партизан, д. 531, пом. 32. </w:t>
      </w:r>
      <w:r w:rsidRPr="0036579A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 xml:space="preserve">Расчетный счет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40702810040000075555</w:t>
      </w:r>
      <w:r w:rsidRPr="0036579A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 xml:space="preserve"> в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ПАО Сбербанк Корреспондентский счет 30101810400000000225</w:t>
      </w:r>
      <w:r w:rsidRPr="0036579A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 xml:space="preserve">,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БИК 044525225</w:t>
      </w:r>
      <w:r w:rsidRPr="0036579A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>)</w:t>
      </w:r>
      <w:r w:rsidRPr="0036579A">
        <w:rPr>
          <w:rFonts w:ascii="Times New Roman" w:eastAsia="Calibri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</w:p>
    <w:p w:rsidR="0036579A" w:rsidRPr="0036579A" w:rsidRDefault="0036579A" w:rsidP="0036579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Генеральный директор__________________________________________________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Давиденко А.Д.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Участник долевого строительства:  ________________________________________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                                              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Приложение №1 к договору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участия в долевом строительстве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многоквартирного дома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pacing w:after="0" w:line="216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и расположение Объекта долевого строительства:</w:t>
      </w: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36579A" w:rsidRPr="0036579A" w:rsidTr="00440947">
        <w:trPr>
          <w:trHeight w:val="2744"/>
        </w:trPr>
        <w:tc>
          <w:tcPr>
            <w:tcW w:w="5667" w:type="dxa"/>
          </w:tcPr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</w:t>
            </w:r>
            <w:r w:rsidRPr="0036579A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Застройщик:</w:t>
            </w:r>
          </w:p>
          <w:p w:rsidR="0036579A" w:rsidRPr="0036579A" w:rsidRDefault="0036579A" w:rsidP="003657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ООО </w:t>
            </w:r>
            <w:r w:rsidRPr="0036579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Специализированный застройщик «Парк Победы»</w:t>
            </w: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                                               </w:t>
            </w:r>
          </w:p>
          <w:p w:rsidR="0036579A" w:rsidRPr="0036579A" w:rsidRDefault="0036579A" w:rsidP="003657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Генеральный директор ______________ </w:t>
            </w:r>
            <w:r w:rsidRPr="003657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Участник долевого строительства:</w:t>
            </w: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_______________________________</w:t>
            </w:r>
          </w:p>
        </w:tc>
      </w:tr>
    </w:tbl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9946DD" w:rsidRPr="009D1302" w:rsidRDefault="009946DD">
      <w:pPr>
        <w:rPr>
          <w:rFonts w:ascii="Times New Roman" w:hAnsi="Times New Roman" w:cs="Times New Roman"/>
          <w:sz w:val="21"/>
          <w:szCs w:val="21"/>
        </w:rPr>
      </w:pPr>
    </w:p>
    <w:sectPr w:rsidR="009946DD" w:rsidRPr="009D1302" w:rsidSect="007510D8">
      <w:footerReference w:type="default" r:id="rId7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D7" w:rsidRDefault="001F14AA">
      <w:pPr>
        <w:spacing w:after="0" w:line="240" w:lineRule="auto"/>
      </w:pPr>
      <w:r>
        <w:separator/>
      </w:r>
    </w:p>
  </w:endnote>
  <w:endnote w:type="continuationSeparator" w:id="0">
    <w:p w:rsidR="00A329D7" w:rsidRDefault="001F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8" w:rsidRDefault="001234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8526B">
      <w:rPr>
        <w:noProof/>
      </w:rPr>
      <w:t>2</w:t>
    </w:r>
    <w:r>
      <w:fldChar w:fldCharType="end"/>
    </w:r>
  </w:p>
  <w:p w:rsidR="007510D8" w:rsidRDefault="00D852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D7" w:rsidRDefault="001F14AA">
      <w:pPr>
        <w:spacing w:after="0" w:line="240" w:lineRule="auto"/>
      </w:pPr>
      <w:r>
        <w:separator/>
      </w:r>
    </w:p>
  </w:footnote>
  <w:footnote w:type="continuationSeparator" w:id="0">
    <w:p w:rsidR="00A329D7" w:rsidRDefault="001F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A"/>
    <w:rsid w:val="00123403"/>
    <w:rsid w:val="001F14AA"/>
    <w:rsid w:val="0036579A"/>
    <w:rsid w:val="00503BFB"/>
    <w:rsid w:val="006F6978"/>
    <w:rsid w:val="00920B06"/>
    <w:rsid w:val="009946DD"/>
    <w:rsid w:val="009D1302"/>
    <w:rsid w:val="00A329D7"/>
    <w:rsid w:val="00D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2020-05-19T13:53:00Z</dcterms:created>
  <dcterms:modified xsi:type="dcterms:W3CDTF">2020-05-19T14:36:00Z</dcterms:modified>
</cp:coreProperties>
</file>