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bookmarkStart w:id="0" w:name="_GoBack"/>
      <w:bookmarkEnd w:id="0"/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846CE5" w:rsidRPr="00A379F6" w:rsidRDefault="00846CE5" w:rsidP="00846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</w:t>
      </w:r>
      <w:r w:rsidR="000604A9">
        <w:rPr>
          <w:rFonts w:ascii="Times New Roman" w:hAnsi="Times New Roman" w:cs="Times New Roman"/>
        </w:rPr>
        <w:t>еления и подземной автостоянкой</w:t>
      </w:r>
      <w:r w:rsidR="00B208CB" w:rsidRPr="00924A4E">
        <w:rPr>
          <w:rFonts w:ascii="Times New Roman" w:hAnsi="Times New Roman" w:cs="Times New Roman"/>
        </w:rPr>
        <w:t>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187191" w:rsidRPr="00187191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 2 с помещениями обслуживания населения и подземной автостоянкой – </w:t>
      </w:r>
      <w:r w:rsidR="00187191" w:rsidRPr="00187191">
        <w:rPr>
          <w:rFonts w:ascii="Times New Roman" w:hAnsi="Times New Roman" w:cs="Times New Roman"/>
          <w:highlight w:val="magenta"/>
          <w:lang w:val="en-US"/>
        </w:rPr>
        <w:t>III</w:t>
      </w:r>
      <w:r w:rsidR="00187191" w:rsidRPr="0018719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187191">
        <w:rPr>
          <w:rFonts w:ascii="Times New Roman" w:hAnsi="Times New Roman" w:cs="Times New Roman"/>
        </w:rPr>
        <w:t>, входящий</w:t>
      </w:r>
      <w:r w:rsidR="005B55DD" w:rsidRPr="00924A4E">
        <w:rPr>
          <w:rFonts w:ascii="Times New Roman" w:hAnsi="Times New Roman" w:cs="Times New Roman"/>
        </w:rPr>
        <w:t xml:space="preserve">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>видуальные хозяйственные 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</w:t>
      </w:r>
      <w:r w:rsidR="002874AA">
        <w:rPr>
          <w:rFonts w:ascii="Times New Roman" w:hAnsi="Times New Roman" w:cs="Times New Roman"/>
        </w:rPr>
        <w:t>распределит</w:t>
      </w:r>
      <w:r w:rsidRPr="00924A4E">
        <w:rPr>
          <w:rFonts w:ascii="Times New Roman" w:hAnsi="Times New Roman" w:cs="Times New Roman"/>
        </w:rPr>
        <w:t>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187191" w:rsidRPr="00187191">
        <w:rPr>
          <w:rFonts w:ascii="Times New Roman" w:hAnsi="Times New Roman" w:cs="Times New Roman"/>
        </w:rPr>
        <w:t>.</w:t>
      </w:r>
      <w:r w:rsidR="00187191" w:rsidRPr="00187191">
        <w:rPr>
          <w:rFonts w:ascii="Times New Roman" w:hAnsi="Times New Roman" w:cs="Times New Roman"/>
          <w:highlight w:val="magenta"/>
        </w:rPr>
        <w:t xml:space="preserve"> Количество этажей – 26, количество подземных этажей-2. Общая площадь Жилого дома – 21137,7 </w:t>
      </w:r>
      <w:proofErr w:type="spellStart"/>
      <w:r w:rsidR="00187191" w:rsidRPr="00187191">
        <w:rPr>
          <w:rFonts w:ascii="Times New Roman" w:hAnsi="Times New Roman" w:cs="Times New Roman"/>
          <w:highlight w:val="magenta"/>
        </w:rPr>
        <w:t>кв.м</w:t>
      </w:r>
      <w:proofErr w:type="spellEnd"/>
      <w:r w:rsidR="00187191" w:rsidRPr="00187191">
        <w:rPr>
          <w:rFonts w:ascii="Times New Roman" w:hAnsi="Times New Roman" w:cs="Times New Roman"/>
        </w:rPr>
        <w:t>.</w:t>
      </w:r>
      <w:r w:rsidR="00187191">
        <w:rPr>
          <w:rFonts w:ascii="Times New Roman" w:hAnsi="Times New Roman" w:cs="Times New Roman"/>
        </w:rPr>
        <w:t xml:space="preserve"> </w:t>
      </w:r>
      <w:r w:rsidR="00EE1C7F" w:rsidRPr="00187191">
        <w:rPr>
          <w:rFonts w:ascii="Times New Roman" w:hAnsi="Times New Roman" w:cs="Times New Roman"/>
        </w:rPr>
        <w:t>Конструктивная</w:t>
      </w:r>
      <w:r w:rsidR="00EE1C7F" w:rsidRPr="00924A4E">
        <w:rPr>
          <w:rFonts w:ascii="Times New Roman" w:hAnsi="Times New Roman" w:cs="Times New Roman"/>
        </w:rPr>
        <w:t xml:space="preserve">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A0442E" w:rsidRDefault="00D07A3B" w:rsidP="00A0442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1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1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  <w:r w:rsidR="00A0442E">
        <w:rPr>
          <w:rFonts w:ascii="Times New Roman" w:hAnsi="Times New Roman" w:cs="Times New Roman"/>
          <w:b/>
          <w:highlight w:val="yellow"/>
        </w:rPr>
        <w:t xml:space="preserve"> </w:t>
      </w:r>
      <w:r w:rsidR="00A0442E" w:rsidRPr="00A0442E">
        <w:rPr>
          <w:rFonts w:ascii="Times New Roman" w:hAnsi="Times New Roman" w:cs="Times New Roman"/>
          <w:b/>
          <w:bCs/>
          <w:highlight w:val="yellow"/>
        </w:rPr>
        <w:t>Условный номер объекта долевого строительства в соответствии с проектной декларацией____.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="00B64B4E"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187191">
        <w:rPr>
          <w:rFonts w:ascii="Times New Roman" w:hAnsi="Times New Roman" w:cs="Times New Roman"/>
          <w:highlight w:val="magenta"/>
        </w:rPr>
        <w:t>3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846CE5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F15A9F">
        <w:rPr>
          <w:rFonts w:ascii="Times New Roman" w:hAnsi="Times New Roman" w:cs="Times New Roman"/>
          <w:b/>
        </w:rPr>
        <w:t>sales</w:t>
      </w:r>
      <w:r w:rsidR="000F53F3" w:rsidRPr="00924A4E">
        <w:rPr>
          <w:rFonts w:ascii="Times New Roman" w:hAnsi="Times New Roman" w:cs="Times New Roman"/>
          <w:b/>
        </w:rPr>
        <w:t>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9D3757" w:rsidRPr="00A379F6" w:rsidRDefault="009D3757" w:rsidP="009D3757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9D3757" w:rsidRPr="00A379F6" w:rsidRDefault="009D3757" w:rsidP="00B0666A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9D3757" w:rsidRPr="00A379F6" w:rsidRDefault="009D3757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A341B1" w:rsidRPr="00A341B1">
        <w:rPr>
          <w:rFonts w:ascii="Times New Roman" w:hAnsi="Times New Roman" w:cs="Times New Roman"/>
        </w:rPr>
        <w:t>-1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92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платежей.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187191" w:rsidP="00C3603D">
      <w:pPr>
        <w:pStyle w:val="a0"/>
        <w:rPr>
          <w:sz w:val="22"/>
          <w:szCs w:val="22"/>
        </w:rPr>
      </w:pPr>
      <w:r w:rsidRPr="00187191">
        <w:rPr>
          <w:sz w:val="22"/>
          <w:szCs w:val="22"/>
        </w:rPr>
        <w:t>630008, обл. Новосибирская, г. Новосибирск, ул. Шевченко, д. 19/1, офис 5 кабинет 2</w:t>
      </w:r>
      <w:r w:rsidR="00C3603D" w:rsidRPr="00924A4E">
        <w:rPr>
          <w:sz w:val="22"/>
          <w:szCs w:val="22"/>
        </w:rPr>
        <w:t xml:space="preserve">, ИНН </w:t>
      </w:r>
      <w:bookmarkStart w:id="2" w:name="OLE_LINK23"/>
      <w:r w:rsidR="00C3603D" w:rsidRPr="00924A4E">
        <w:rPr>
          <w:sz w:val="22"/>
          <w:szCs w:val="22"/>
        </w:rPr>
        <w:t>5405341390</w:t>
      </w:r>
      <w:bookmarkEnd w:id="2"/>
      <w:r w:rsidR="00C3603D"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="00C3603D"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="00C3603D"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="00C3603D" w:rsidRPr="00924A4E">
        <w:rPr>
          <w:sz w:val="22"/>
          <w:szCs w:val="22"/>
        </w:rPr>
        <w:t xml:space="preserve">  БИК</w:t>
      </w:r>
      <w:proofErr w:type="gramEnd"/>
      <w:r w:rsidR="00C3603D"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F15A9F" w:rsidP="000F53F3">
      <w:pPr>
        <w:pStyle w:val="a0"/>
        <w:rPr>
          <w:sz w:val="22"/>
          <w:szCs w:val="22"/>
        </w:rPr>
      </w:pPr>
      <w:hyperlink r:id="rId9" w:history="1">
        <w:r>
          <w:rPr>
            <w:rStyle w:val="a4"/>
            <w:sz w:val="22"/>
            <w:szCs w:val="22"/>
          </w:rPr>
          <w:t>sales</w:t>
        </w:r>
        <w:r w:rsidR="000F473E" w:rsidRPr="002118AD">
          <w:rPr>
            <w:rStyle w:val="a4"/>
            <w:sz w:val="22"/>
            <w:szCs w:val="22"/>
          </w:rPr>
          <w:t>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</w:t>
      </w:r>
      <w:r w:rsidR="00846CE5">
        <w:rPr>
          <w:rFonts w:ascii="Times New Roman" w:hAnsi="Times New Roman" w:cs="Times New Roman"/>
        </w:rPr>
        <w:t>____________________________________________</w:t>
      </w:r>
      <w:r w:rsidRPr="00A379F6">
        <w:rPr>
          <w:rFonts w:ascii="Times New Roman" w:hAnsi="Times New Roman" w:cs="Times New Roman"/>
        </w:rPr>
        <w:t>_</w:t>
      </w:r>
    </w:p>
    <w:p w:rsidR="00480933" w:rsidRDefault="00846CE5" w:rsidP="0026596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B0666A" w:rsidRPr="00A379F6" w:rsidRDefault="00B0666A" w:rsidP="00B0666A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B0666A" w:rsidRPr="00A379F6" w:rsidRDefault="00B0666A" w:rsidP="00B0666A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B0666A" w:rsidRPr="00A379F6" w:rsidRDefault="00B0666A" w:rsidP="00B0666A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B0666A" w:rsidRPr="00A379F6" w:rsidRDefault="00B0666A" w:rsidP="00B0666A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именуемая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строительства-1</w:t>
      </w:r>
      <w:r w:rsidRPr="00A379F6">
        <w:rPr>
          <w:rFonts w:ascii="Times New Roman" w:hAnsi="Times New Roman" w:cs="Times New Roman"/>
          <w:b/>
          <w:i/>
        </w:rPr>
        <w:t xml:space="preserve">» и </w:t>
      </w:r>
      <w:r w:rsidRPr="00A379F6">
        <w:rPr>
          <w:rFonts w:ascii="Times New Roman" w:hAnsi="Times New Roman" w:cs="Times New Roman"/>
          <w:b/>
        </w:rPr>
        <w:t>ФИО</w:t>
      </w:r>
      <w:r w:rsidRPr="00A379F6">
        <w:rPr>
          <w:rFonts w:ascii="Times New Roman" w:hAnsi="Times New Roman" w:cs="Times New Roman"/>
        </w:rPr>
        <w:t xml:space="preserve"> именуемый в дальнейшем </w:t>
      </w:r>
      <w:r w:rsidRPr="00A379F6">
        <w:rPr>
          <w:rFonts w:ascii="Times New Roman" w:hAnsi="Times New Roman" w:cs="Times New Roman"/>
          <w:b/>
          <w:i/>
        </w:rPr>
        <w:t>«</w:t>
      </w:r>
      <w:r w:rsidRPr="00A379F6">
        <w:rPr>
          <w:rFonts w:ascii="Times New Roman" w:hAnsi="Times New Roman" w:cs="Times New Roman"/>
          <w:b/>
        </w:rPr>
        <w:t>Участник долевого строительства-2»</w:t>
      </w:r>
      <w:r w:rsidRPr="00A379F6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66A" w:rsidRPr="00A379F6" w:rsidRDefault="00B0666A" w:rsidP="00B0666A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val="en-US"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26596D" w:rsidRPr="00AD629C" w:rsidRDefault="0026596D" w:rsidP="0026596D">
      <w:pPr>
        <w:rPr>
          <w:rFonts w:ascii="Times New Roman" w:hAnsi="Times New Roman" w:cs="Times New Roman"/>
          <w:b/>
        </w:rPr>
      </w:pPr>
      <w:r w:rsidRPr="00AD629C">
        <w:rPr>
          <w:rFonts w:ascii="Times New Roman" w:hAnsi="Times New Roman" w:cs="Times New Roman"/>
        </w:rPr>
        <w:t xml:space="preserve">Застройщик </w:t>
      </w:r>
      <w:r w:rsidRPr="00AD629C">
        <w:rPr>
          <w:rFonts w:ascii="Times New Roman" w:hAnsi="Times New Roman" w:cs="Times New Roman"/>
          <w:b/>
        </w:rPr>
        <w:t>ООО «ЖК Академия»</w:t>
      </w:r>
    </w:p>
    <w:p w:rsidR="0026596D" w:rsidRPr="00AD629C" w:rsidRDefault="0026596D" w:rsidP="0026596D">
      <w:pPr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Генеральный директор</w:t>
      </w:r>
    </w:p>
    <w:p w:rsidR="0026596D" w:rsidRPr="00AD629C" w:rsidRDefault="0026596D" w:rsidP="0026596D">
      <w:pPr>
        <w:tabs>
          <w:tab w:val="left" w:pos="3945"/>
        </w:tabs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>___________________/ Оглоблин Сергей Александрович /</w:t>
      </w:r>
    </w:p>
    <w:p w:rsidR="0026596D" w:rsidRDefault="0026596D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="00480933" w:rsidRPr="00480933">
        <w:rPr>
          <w:rFonts w:ascii="Times New Roman" w:hAnsi="Times New Roman" w:cs="Times New Roman"/>
        </w:rPr>
        <w:t xml:space="preserve"> </w:t>
      </w:r>
      <w:r w:rsidR="00480933"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  <w:r w:rsidR="00846CE5">
        <w:rPr>
          <w:rFonts w:ascii="Times New Roman" w:hAnsi="Times New Roman" w:cs="Times New Roman"/>
        </w:rPr>
        <w:t>___________________________________________</w:t>
      </w:r>
    </w:p>
    <w:p w:rsidR="00B0666A" w:rsidRPr="00A379F6" w:rsidRDefault="00846CE5" w:rsidP="00B066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sectPr w:rsidR="00B0666A" w:rsidRPr="00A379F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604A9"/>
    <w:rsid w:val="000911AF"/>
    <w:rsid w:val="000960D6"/>
    <w:rsid w:val="000A0DE8"/>
    <w:rsid w:val="000C2F94"/>
    <w:rsid w:val="000C4A3D"/>
    <w:rsid w:val="000D0421"/>
    <w:rsid w:val="000F473E"/>
    <w:rsid w:val="000F53F3"/>
    <w:rsid w:val="00121F8E"/>
    <w:rsid w:val="001233F5"/>
    <w:rsid w:val="00130E78"/>
    <w:rsid w:val="0017708D"/>
    <w:rsid w:val="00182AA8"/>
    <w:rsid w:val="00187191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024E"/>
    <w:rsid w:val="00245239"/>
    <w:rsid w:val="002461AF"/>
    <w:rsid w:val="00251AEA"/>
    <w:rsid w:val="00261C48"/>
    <w:rsid w:val="0026596D"/>
    <w:rsid w:val="0027505B"/>
    <w:rsid w:val="002874AA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46CE5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A0442E"/>
    <w:rsid w:val="00A165FE"/>
    <w:rsid w:val="00A26FB4"/>
    <w:rsid w:val="00A341B1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15A9F"/>
    <w:rsid w:val="00F20A43"/>
    <w:rsid w:val="00F2279B"/>
    <w:rsid w:val="00F40F61"/>
    <w:rsid w:val="00F573A2"/>
    <w:rsid w:val="00F6002C"/>
    <w:rsid w:val="00F612C4"/>
    <w:rsid w:val="00F61FE2"/>
    <w:rsid w:val="00F638FC"/>
    <w:rsid w:val="00F778AB"/>
    <w:rsid w:val="00F83645"/>
    <w:rsid w:val="00F86C58"/>
    <w:rsid w:val="00FA059F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85C9-7F73-4229-9A8B-C895626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9032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13</cp:revision>
  <cp:lastPrinted>2019-03-05T07:38:00Z</cp:lastPrinted>
  <dcterms:created xsi:type="dcterms:W3CDTF">2020-07-15T09:01:00Z</dcterms:created>
  <dcterms:modified xsi:type="dcterms:W3CDTF">2021-06-16T10:16:00Z</dcterms:modified>
</cp:coreProperties>
</file>